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04A" w14:textId="6EDE55D6" w:rsidR="005C07DF" w:rsidRPr="00BE6107" w:rsidRDefault="00BE6107" w:rsidP="00BE6107">
      <w:pPr>
        <w:jc w:val="right"/>
        <w:rPr>
          <w:rFonts w:ascii="Source Serif Pro" w:hAnsi="Source Serif Pro"/>
        </w:rPr>
      </w:pPr>
      <w:r w:rsidRPr="00BE6107">
        <w:rPr>
          <w:rFonts w:ascii="Source Serif Pro" w:hAnsi="Source Serif Pro"/>
        </w:rPr>
        <w:t xml:space="preserve">Załącznik nr </w:t>
      </w:r>
      <w:r w:rsidR="00FF42AB">
        <w:rPr>
          <w:rFonts w:ascii="Source Serif Pro" w:hAnsi="Source Serif Pro"/>
        </w:rPr>
        <w:t>2</w:t>
      </w:r>
    </w:p>
    <w:p w14:paraId="6E7C835C" w14:textId="2091A773" w:rsidR="005C07DF" w:rsidRPr="00A50511" w:rsidRDefault="00A50511" w:rsidP="00A50511">
      <w:pPr>
        <w:jc w:val="center"/>
        <w:rPr>
          <w:rFonts w:ascii="Source Serif Pro" w:hAnsi="Source Serif Pro"/>
          <w:b/>
          <w:bCs/>
        </w:rPr>
      </w:pPr>
      <w:r w:rsidRPr="00A50511">
        <w:rPr>
          <w:rFonts w:ascii="Source Serif Pro" w:hAnsi="Source Serif Pro"/>
          <w:b/>
          <w:bCs/>
        </w:rPr>
        <w:t>OPIS PRZEDMIOTU ZAMÓWIENIA</w:t>
      </w:r>
    </w:p>
    <w:p w14:paraId="66A87347" w14:textId="5E7942FF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Przedmiotem niniejszego zamówienia </w:t>
      </w:r>
      <w:r w:rsidR="00032A8E" w:rsidRPr="000D027A">
        <w:rPr>
          <w:rFonts w:ascii="Source Serif Pro" w:hAnsi="Source Serif Pro"/>
          <w:sz w:val="20"/>
          <w:szCs w:val="20"/>
        </w:rPr>
        <w:t>jest usługa laboratoryjna</w:t>
      </w:r>
      <w:r w:rsidRPr="000D027A">
        <w:rPr>
          <w:rFonts w:ascii="Source Serif Pro" w:hAnsi="Source Serif Pro"/>
          <w:sz w:val="20"/>
          <w:szCs w:val="20"/>
        </w:rPr>
        <w:t xml:space="preserve"> obejmując</w:t>
      </w:r>
      <w:r w:rsidR="00032A8E" w:rsidRPr="000D027A">
        <w:rPr>
          <w:rFonts w:ascii="Source Serif Pro" w:hAnsi="Source Serif Pro"/>
          <w:sz w:val="20"/>
          <w:szCs w:val="20"/>
        </w:rPr>
        <w:t>a</w:t>
      </w:r>
      <w:r w:rsidRPr="000D027A">
        <w:rPr>
          <w:rFonts w:ascii="Source Serif Pro" w:hAnsi="Source Serif Pro"/>
          <w:sz w:val="20"/>
          <w:szCs w:val="20"/>
        </w:rPr>
        <w:t xml:space="preserve">: </w:t>
      </w:r>
      <w:r w:rsidR="005C380A">
        <w:rPr>
          <w:rFonts w:ascii="Source Serif Pro" w:hAnsi="Source Serif Pro"/>
          <w:sz w:val="20"/>
          <w:szCs w:val="20"/>
        </w:rPr>
        <w:t>i</w:t>
      </w:r>
      <w:r w:rsidRPr="000D027A">
        <w:rPr>
          <w:rFonts w:ascii="Source Serif Pro" w:hAnsi="Source Serif Pro"/>
          <w:sz w:val="20"/>
          <w:szCs w:val="20"/>
        </w:rPr>
        <w:t xml:space="preserve">dentyfikację podtypu molekularnego ostrej białaczki </w:t>
      </w:r>
      <w:proofErr w:type="spellStart"/>
      <w:r w:rsidRPr="000D027A">
        <w:rPr>
          <w:rFonts w:ascii="Source Serif Pro" w:hAnsi="Source Serif Pro"/>
          <w:sz w:val="20"/>
          <w:szCs w:val="20"/>
        </w:rPr>
        <w:t>limfoblastycznej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</w:t>
      </w:r>
      <w:bookmarkStart w:id="0" w:name="_Hlk142473335"/>
      <w:r w:rsidRPr="000D027A">
        <w:rPr>
          <w:rFonts w:ascii="Source Serif Pro" w:hAnsi="Source Serif Pro"/>
          <w:sz w:val="20"/>
          <w:szCs w:val="20"/>
        </w:rPr>
        <w:t xml:space="preserve">oraz </w:t>
      </w:r>
      <w:r w:rsidR="00775DDF">
        <w:rPr>
          <w:rFonts w:ascii="Source Serif Pro" w:hAnsi="Source Serif Pro"/>
          <w:sz w:val="20"/>
          <w:szCs w:val="20"/>
        </w:rPr>
        <w:t>o</w:t>
      </w:r>
      <w:r w:rsidR="00775DDF" w:rsidRPr="00775DDF">
        <w:rPr>
          <w:rFonts w:ascii="Source Serif Pro" w:hAnsi="Source Serif Pro"/>
          <w:sz w:val="20"/>
          <w:szCs w:val="20"/>
        </w:rPr>
        <w:t xml:space="preserve">cena choroby resztkowej (MRD) metodą molekularną 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qPCR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(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rearanżacje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genów TCR i Ig) wg standardu EURO-MRD</w:t>
      </w:r>
      <w:r w:rsidR="00775DDF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wykonywane w ramach badania klinicznego </w:t>
      </w:r>
      <w:r w:rsidR="008E6479" w:rsidRPr="00DE7C36">
        <w:rPr>
          <w:rFonts w:ascii="Source Serif Pro" w:hAnsi="Source Serif Pro" w:cs="Arial"/>
          <w:sz w:val="20"/>
        </w:rPr>
        <w:t>fazy I/II pt. Zastosowanie limfocytów CAR</w:t>
      </w:r>
      <w:r w:rsidR="001C1C66">
        <w:rPr>
          <w:rFonts w:ascii="Source Serif Pro" w:hAnsi="Source Serif Pro" w:cs="Arial"/>
          <w:sz w:val="20"/>
        </w:rPr>
        <w:t>-</w:t>
      </w:r>
      <w:r w:rsidR="008E6479" w:rsidRPr="00DE7C36">
        <w:rPr>
          <w:rFonts w:ascii="Source Serif Pro" w:hAnsi="Source Serif Pro" w:cs="Arial"/>
          <w:sz w:val="20"/>
        </w:rPr>
        <w:t>T anty CD</w:t>
      </w:r>
      <w:r w:rsidR="001C1C66">
        <w:rPr>
          <w:rFonts w:ascii="Source Serif Pro" w:hAnsi="Source Serif Pro" w:cs="Arial"/>
          <w:sz w:val="20"/>
        </w:rPr>
        <w:t>19</w:t>
      </w:r>
      <w:r w:rsidR="008E6479" w:rsidRPr="00DE7C36">
        <w:rPr>
          <w:rFonts w:ascii="Source Serif Pro" w:hAnsi="Source Serif Pro" w:cs="Arial"/>
          <w:sz w:val="20"/>
        </w:rPr>
        <w:t xml:space="preserve"> w leczeniu dorosłych chorych na nawrotową i oporną ostrą białaczkę </w:t>
      </w:r>
      <w:proofErr w:type="spellStart"/>
      <w:r w:rsidR="008E6479" w:rsidRPr="00DE7C36">
        <w:rPr>
          <w:rFonts w:ascii="Source Serif Pro" w:hAnsi="Source Serif Pro" w:cs="Arial"/>
          <w:sz w:val="20"/>
        </w:rPr>
        <w:t>limfoblastyczną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, dalej zwanego „Badaniem klinicznym”. </w:t>
      </w:r>
      <w:bookmarkEnd w:id="0"/>
      <w:r w:rsidRPr="000D027A">
        <w:rPr>
          <w:rFonts w:ascii="Source Serif Pro" w:hAnsi="Source Serif Pro"/>
          <w:sz w:val="20"/>
          <w:szCs w:val="20"/>
        </w:rPr>
        <w:t xml:space="preserve">Wykonawca przyjmuje do wiadomości, że Badanie kliniczne obejmuje badanie kliniczne fazy I/II (MERMAID1) i jest realizowane w ramach konkursu na działalność badawczo – rozwojową w zakresie niekomercyjnych badań klinicznych nr ABM/2020/1 na podstawie umowy nr 2020/ABM/01/00053-00 z dnia 29.10.2020 r. o wykonanie i finansowanie projektu, zawartej przez Zamawiającego z Agencją Badań Medycznych (ABM). Projekt jest realizowany w ramach Konsorcjum, którego Liderem jest Warszawski Uniwersytet Medyczny, pełniący rolę Sponsora niekomercyjnego badania klinicznego w </w:t>
      </w:r>
      <w:r w:rsidR="00D03C3B" w:rsidRPr="00D03C3B">
        <w:rPr>
          <w:rFonts w:ascii="Source Serif Pro" w:hAnsi="Source Serif Pro"/>
          <w:sz w:val="20"/>
          <w:szCs w:val="20"/>
        </w:rPr>
        <w:t>rozumieniu art.2 punkt 8) ustawy z dnia 9 marca 2023 r. o badaniach klinicznych produktów leczniczych stosowanych u ludzi (Dz.U. 2023 poz. 605).</w:t>
      </w:r>
    </w:p>
    <w:p w14:paraId="06E974E7" w14:textId="77777777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</w:p>
    <w:p w14:paraId="2A98F1EC" w14:textId="7C0F6A43" w:rsidR="000F6B63" w:rsidRPr="000D027A" w:rsidRDefault="000F6B63" w:rsidP="00811E20">
      <w:pPr>
        <w:pStyle w:val="Akapitzlist"/>
        <w:numPr>
          <w:ilvl w:val="0"/>
          <w:numId w:val="3"/>
        </w:numPr>
        <w:ind w:left="567" w:hanging="207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Badania wykonywane w ramach badania klinicznego: </w:t>
      </w:r>
    </w:p>
    <w:p w14:paraId="31A45CDF" w14:textId="26968573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Identyfikacja podtypu molekularnego ostrej białaczki 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limfoblastycznej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</w:rPr>
        <w:t>:</w:t>
      </w:r>
    </w:p>
    <w:p w14:paraId="098BB460" w14:textId="2B6150A0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Wysokorozdzielcze </w:t>
      </w:r>
      <w:proofErr w:type="spellStart"/>
      <w:r w:rsidRPr="000D027A">
        <w:rPr>
          <w:rFonts w:ascii="Source Serif Pro" w:hAnsi="Source Serif Pro"/>
          <w:sz w:val="20"/>
          <w:szCs w:val="20"/>
        </w:rPr>
        <w:t>mikromacierze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SNP (</w:t>
      </w:r>
      <w:proofErr w:type="spellStart"/>
      <w:r w:rsidRPr="000D027A">
        <w:rPr>
          <w:rFonts w:ascii="Source Serif Pro" w:hAnsi="Source Serif Pro"/>
          <w:sz w:val="20"/>
          <w:szCs w:val="20"/>
        </w:rPr>
        <w:t>Cytoscan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HD, </w:t>
      </w:r>
      <w:proofErr w:type="spellStart"/>
      <w:r w:rsidRPr="000D027A">
        <w:rPr>
          <w:rFonts w:ascii="Source Serif Pro" w:hAnsi="Source Serif Pro"/>
          <w:sz w:val="20"/>
          <w:szCs w:val="20"/>
        </w:rPr>
        <w:t>Affymetrix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) w celu identyfikacji liczby kopii genów, zmian strukturalnych chromosomów oraz maskowanej </w:t>
      </w:r>
      <w:proofErr w:type="spellStart"/>
      <w:r w:rsidRPr="000D027A">
        <w:rPr>
          <w:rFonts w:ascii="Source Serif Pro" w:hAnsi="Source Serif Pro"/>
          <w:sz w:val="20"/>
          <w:szCs w:val="20"/>
        </w:rPr>
        <w:t>hipodiploidii</w:t>
      </w:r>
      <w:proofErr w:type="spellEnd"/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4F9386CA" w14:textId="4F5EDD5F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Sekwencjonowanie RNA metodą NGS (</w:t>
      </w:r>
      <w:proofErr w:type="spellStart"/>
      <w:r w:rsidRPr="000D027A">
        <w:rPr>
          <w:rFonts w:ascii="Source Serif Pro" w:hAnsi="Source Serif Pro"/>
          <w:sz w:val="20"/>
          <w:szCs w:val="20"/>
        </w:rPr>
        <w:t>Pancancer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Panel, </w:t>
      </w:r>
      <w:proofErr w:type="spellStart"/>
      <w:r w:rsidRPr="000D027A">
        <w:rPr>
          <w:rFonts w:ascii="Source Serif Pro" w:hAnsi="Source Serif Pro"/>
          <w:sz w:val="20"/>
          <w:szCs w:val="20"/>
        </w:rPr>
        <w:t>Illumina</w:t>
      </w:r>
      <w:proofErr w:type="spellEnd"/>
      <w:r w:rsidRPr="000D027A">
        <w:rPr>
          <w:rFonts w:ascii="Source Serif Pro" w:hAnsi="Source Serif Pro"/>
          <w:sz w:val="20"/>
          <w:szCs w:val="20"/>
        </w:rPr>
        <w:t>) w celu identyfikacji mutacji punktowych oraz fuzji genów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50AED9F8" w14:textId="687A508B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 ml szpiku kostnego pobranego na EDTA z rozpoznania choroby lub nawrotu (założeniem jest &gt;50% </w:t>
      </w:r>
      <w:proofErr w:type="spellStart"/>
      <w:r w:rsidRPr="000D027A">
        <w:rPr>
          <w:rFonts w:ascii="Source Serif Pro" w:hAnsi="Source Serif Pro"/>
          <w:sz w:val="20"/>
          <w:szCs w:val="20"/>
        </w:rPr>
        <w:t>blastów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w próbce). Próbki pobierane będą raz na wizycie </w:t>
      </w:r>
      <w:proofErr w:type="spellStart"/>
      <w:r w:rsidRPr="000D027A">
        <w:rPr>
          <w:rFonts w:ascii="Source Serif Pro" w:hAnsi="Source Serif Pro"/>
          <w:sz w:val="20"/>
          <w:szCs w:val="20"/>
        </w:rPr>
        <w:t>skreeningowej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/przesiewowej po podpisaniu przez pacjenta świadomej zgody na udział w badaniu klinicznym. </w:t>
      </w:r>
    </w:p>
    <w:p w14:paraId="607ACB06" w14:textId="6BFEAC32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  <w:u w:val="single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Ocena choroby resztkowej (MRD) metodą molekularną 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qPCR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 (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rearanżacje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 genów TCR i Ig) wg standardu EURO-MRD</w:t>
      </w:r>
      <w:r w:rsidR="00BE7F76" w:rsidRPr="000D027A">
        <w:rPr>
          <w:rFonts w:ascii="Source Serif Pro" w:hAnsi="Source Serif Pro"/>
          <w:b/>
          <w:bCs/>
          <w:sz w:val="20"/>
          <w:szCs w:val="20"/>
          <w:u w:val="single"/>
        </w:rPr>
        <w:t>:</w:t>
      </w:r>
    </w:p>
    <w:p w14:paraId="61CB8EC0" w14:textId="378B8BB2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Identyfikacja markera molekularnego klonu białaczkowego (</w:t>
      </w:r>
      <w:proofErr w:type="spellStart"/>
      <w:r w:rsidRPr="000D027A">
        <w:rPr>
          <w:rFonts w:ascii="Source Serif Pro" w:hAnsi="Source Serif Pro"/>
          <w:sz w:val="20"/>
          <w:szCs w:val="20"/>
        </w:rPr>
        <w:t>rearanżacje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genów TCR i Ig)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1FB8A92A" w14:textId="55A2FABF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5 ml szpiku kostnego pobranego na EDTA z rozpoznania choroby lub nawrotu (założeniem jest &gt;50% </w:t>
      </w:r>
      <w:proofErr w:type="spellStart"/>
      <w:r w:rsidRPr="000D027A">
        <w:rPr>
          <w:rFonts w:ascii="Source Serif Pro" w:hAnsi="Source Serif Pro"/>
          <w:sz w:val="20"/>
          <w:szCs w:val="20"/>
        </w:rPr>
        <w:t>blastów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w próbce). Próbki pobierane będą raz na wizycie </w:t>
      </w:r>
      <w:proofErr w:type="spellStart"/>
      <w:r w:rsidRPr="000D027A">
        <w:rPr>
          <w:rFonts w:ascii="Source Serif Pro" w:hAnsi="Source Serif Pro"/>
          <w:sz w:val="20"/>
          <w:szCs w:val="20"/>
        </w:rPr>
        <w:t>skreeningowej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/przesiewowej po podpisaniu przez pacjenta świadomej zgody na udział w badaniu klinicznym. </w:t>
      </w:r>
    </w:p>
    <w:p w14:paraId="2EDFD5D7" w14:textId="7F7AF6F7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02929528" w14:textId="35FC6BEA" w:rsidR="00835787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1-2 ml szpiku kostnego pobranego na EDTA z danego punktu czasowego. Próbki będą pobierane na wizycie w dniu 30, miesiącu 3, 6 i 12. </w:t>
      </w:r>
    </w:p>
    <w:p w14:paraId="6757B4CB" w14:textId="7DA5C297" w:rsidR="005453C0" w:rsidRPr="000D027A" w:rsidRDefault="005453C0" w:rsidP="005453C0">
      <w:pPr>
        <w:spacing w:after="0"/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>Schemat obrazujący ilość i rodzaj badań przeprowadzanych u każdego pacjenta: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94"/>
        <w:gridCol w:w="3685"/>
        <w:gridCol w:w="2268"/>
      </w:tblGrid>
      <w:tr w:rsidR="00835787" w:rsidRPr="000D027A" w14:paraId="1208D264" w14:textId="77777777" w:rsidTr="00223072">
        <w:tc>
          <w:tcPr>
            <w:tcW w:w="1467" w:type="dxa"/>
            <w:vAlign w:val="center"/>
          </w:tcPr>
          <w:p w14:paraId="0B78D7C5" w14:textId="75ABEA51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Rodzaj </w:t>
            </w:r>
            <w:r w:rsidR="004E3CA0"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3685" w:type="dxa"/>
            <w:vAlign w:val="center"/>
          </w:tcPr>
          <w:p w14:paraId="35FA583D" w14:textId="4FD0113C" w:rsidR="00835787" w:rsidRPr="000D027A" w:rsidRDefault="004E3CA0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Rodzaj badania (wykonywanego w ramach poszczególnych usług)</w:t>
            </w:r>
          </w:p>
        </w:tc>
        <w:tc>
          <w:tcPr>
            <w:tcW w:w="2268" w:type="dxa"/>
            <w:vAlign w:val="center"/>
          </w:tcPr>
          <w:p w14:paraId="6017F46D" w14:textId="77777777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Harmonogram</w:t>
            </w:r>
          </w:p>
        </w:tc>
      </w:tr>
      <w:tr w:rsidR="00835787" w:rsidRPr="000D027A" w14:paraId="299F94D7" w14:textId="77777777" w:rsidTr="00223072">
        <w:tc>
          <w:tcPr>
            <w:tcW w:w="1467" w:type="dxa"/>
            <w:vMerge w:val="restart"/>
            <w:shd w:val="clear" w:color="auto" w:fill="auto"/>
            <w:vAlign w:val="center"/>
          </w:tcPr>
          <w:p w14:paraId="777C032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Identyfikacja podtypu molekularnego </w:t>
            </w: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lastRenderedPageBreak/>
              <w:t xml:space="preserve">ostrej białaczki 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limfoblastycznej</w:t>
            </w:r>
            <w:proofErr w:type="spellEnd"/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27557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 xml:space="preserve">Próbka nr 1: Materiałem do badań będzie 1 ml szpiku kostnego pobranego na EDTA z rozpoznania choroby lub nawrotu (założeniem jest &gt;50%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blastów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w próbce)</w:t>
            </w:r>
          </w:p>
          <w:p w14:paraId="6CAC7A05" w14:textId="77777777" w:rsidR="00835787" w:rsidRPr="000D027A" w:rsidRDefault="00835787" w:rsidP="00223072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 xml:space="preserve">Próbka nr 2: Materiałem do badań będzie 5 ml szpiku kostnego pobranego na EDTA z rozpoznania choroby lub nawrotu (założeniem jest &gt;50%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blastów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w próbce)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FD215E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 xml:space="preserve">Czas na dostarczenie wyniku z analizy próbek wynosi 3 miesiące. </w:t>
            </w:r>
          </w:p>
        </w:tc>
      </w:tr>
      <w:tr w:rsidR="00835787" w:rsidRPr="000D027A" w14:paraId="237F12F9" w14:textId="77777777" w:rsidTr="00223072">
        <w:trPr>
          <w:trHeight w:val="659"/>
        </w:trPr>
        <w:tc>
          <w:tcPr>
            <w:tcW w:w="1467" w:type="dxa"/>
            <w:vMerge/>
            <w:shd w:val="clear" w:color="auto" w:fill="auto"/>
            <w:vAlign w:val="center"/>
          </w:tcPr>
          <w:p w14:paraId="6A1DC5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3413223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mikromacierze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SNP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Cytoscan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HD,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Affymetrix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) </w:t>
            </w:r>
          </w:p>
          <w:p w14:paraId="472D172C" w14:textId="77777777" w:rsidR="00835787" w:rsidRPr="000D027A" w:rsidRDefault="00835787" w:rsidP="00223072">
            <w:pPr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DEBE2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Skrining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  <w:p w14:paraId="273125AD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(w czasie 28 dni przed włączeniem pacjenta do badania)</w:t>
            </w:r>
          </w:p>
        </w:tc>
      </w:tr>
      <w:tr w:rsidR="00835787" w:rsidRPr="000D027A" w14:paraId="68BC5A93" w14:textId="77777777" w:rsidTr="00223072">
        <w:trPr>
          <w:trHeight w:val="714"/>
        </w:trPr>
        <w:tc>
          <w:tcPr>
            <w:tcW w:w="1467" w:type="dxa"/>
            <w:vMerge/>
            <w:shd w:val="clear" w:color="auto" w:fill="auto"/>
            <w:vAlign w:val="center"/>
          </w:tcPr>
          <w:p w14:paraId="5D07ABF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A5D87A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Sekwencjonowanie RNA metodą NGS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Pancancer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Panel,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Illumina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14:paraId="41294EAF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2269712E" w14:textId="77777777" w:rsidTr="00223072">
        <w:trPr>
          <w:trHeight w:val="1135"/>
        </w:trPr>
        <w:tc>
          <w:tcPr>
            <w:tcW w:w="1467" w:type="dxa"/>
            <w:vMerge w:val="restart"/>
            <w:vAlign w:val="center"/>
          </w:tcPr>
          <w:p w14:paraId="1CEBB2C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Ocena choroby resztkowej (MRD) metodą molekularną 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qPCR</w:t>
            </w:r>
            <w:proofErr w:type="spellEnd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rearanżacje</w:t>
            </w:r>
            <w:proofErr w:type="spellEnd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 genów TCR i Ig) wg standardu EURO-MRD</w:t>
            </w:r>
          </w:p>
        </w:tc>
        <w:tc>
          <w:tcPr>
            <w:tcW w:w="3685" w:type="dxa"/>
            <w:vAlign w:val="center"/>
          </w:tcPr>
          <w:p w14:paraId="1936ACC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Identyfikacja markera molekularnego klonu białaczkowego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rearanżacje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genów TCR i Ig)</w:t>
            </w:r>
          </w:p>
        </w:tc>
        <w:tc>
          <w:tcPr>
            <w:tcW w:w="2268" w:type="dxa"/>
            <w:vMerge/>
            <w:vAlign w:val="center"/>
          </w:tcPr>
          <w:p w14:paraId="618E128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697AC41E" w14:textId="77777777" w:rsidTr="00223072">
        <w:tc>
          <w:tcPr>
            <w:tcW w:w="1467" w:type="dxa"/>
            <w:vMerge/>
            <w:shd w:val="clear" w:color="auto" w:fill="D9E2F3" w:themeFill="accent1" w:themeFillTint="33"/>
            <w:vAlign w:val="center"/>
          </w:tcPr>
          <w:p w14:paraId="4227A4A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5E4D505" w14:textId="77777777" w:rsidR="00835787" w:rsidRPr="000D027A" w:rsidRDefault="00835787" w:rsidP="00223072">
            <w:pPr>
              <w:pStyle w:val="Default"/>
              <w:rPr>
                <w:rFonts w:ascii="Source Serif Pro" w:hAnsi="Source Serif Pro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 xml:space="preserve">Próbka: </w:t>
            </w:r>
            <w:r w:rsidRPr="000D027A">
              <w:rPr>
                <w:rFonts w:ascii="Source Serif Pro" w:hAnsi="Source Serif Pro"/>
                <w:sz w:val="18"/>
                <w:szCs w:val="18"/>
              </w:rPr>
              <w:t>Materiałem do badań będzie 1-2 ml szpiku kostnego pobranego na EDTA z danego punktu czasowego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6CCCA54" w14:textId="77777777" w:rsidR="00835787" w:rsidRPr="000D027A" w:rsidRDefault="00835787" w:rsidP="00223072">
            <w:pPr>
              <w:pStyle w:val="Akapitzlist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Czas na dostarczenie wyniku z analizy próbek wynosi 3 miesiące.</w:t>
            </w:r>
          </w:p>
        </w:tc>
      </w:tr>
      <w:tr w:rsidR="00835787" w:rsidRPr="000D027A" w14:paraId="109EC3F1" w14:textId="77777777" w:rsidTr="00223072">
        <w:tc>
          <w:tcPr>
            <w:tcW w:w="1467" w:type="dxa"/>
            <w:vMerge/>
            <w:vAlign w:val="center"/>
          </w:tcPr>
          <w:p w14:paraId="25C2974E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2CB2C7A" w14:textId="7BEABDDC" w:rsidR="00835787" w:rsidRPr="000D027A" w:rsidRDefault="00835787" w:rsidP="00C9345D">
            <w:pPr>
              <w:pStyle w:val="Akapitzlist"/>
              <w:spacing w:before="120" w:after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000000"/>
                <w:kern w:val="0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77764A1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100450DC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Dzień 30 od dnia podania limfocytów CAR-T  </w:t>
            </w:r>
          </w:p>
        </w:tc>
      </w:tr>
      <w:tr w:rsidR="00835787" w:rsidRPr="000D027A" w14:paraId="54D1E582" w14:textId="77777777" w:rsidTr="00223072">
        <w:tc>
          <w:tcPr>
            <w:tcW w:w="1467" w:type="dxa"/>
            <w:vMerge/>
            <w:vAlign w:val="center"/>
          </w:tcPr>
          <w:p w14:paraId="35CFBA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D45257E" w14:textId="7782AC23" w:rsidR="00835787" w:rsidRPr="00C9345D" w:rsidRDefault="00C9345D" w:rsidP="00C9345D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60BC4BB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32B13F30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3 +/- 14 dni od dnia podania limfocytów CAR-T  </w:t>
            </w:r>
          </w:p>
        </w:tc>
      </w:tr>
      <w:tr w:rsidR="00835787" w:rsidRPr="000D027A" w14:paraId="73371CAE" w14:textId="77777777" w:rsidTr="00223072">
        <w:tc>
          <w:tcPr>
            <w:tcW w:w="1467" w:type="dxa"/>
            <w:vMerge/>
            <w:vAlign w:val="center"/>
          </w:tcPr>
          <w:p w14:paraId="135E9A99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5DA86A" w14:textId="2CD9F961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712B34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6373F97D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6 +/- 14 dni od dnia podania limfocytów CAR-T </w:t>
            </w:r>
          </w:p>
        </w:tc>
      </w:tr>
      <w:tr w:rsidR="00835787" w:rsidRPr="000D027A" w14:paraId="3C9BBD3D" w14:textId="77777777" w:rsidTr="00223072">
        <w:tc>
          <w:tcPr>
            <w:tcW w:w="1467" w:type="dxa"/>
            <w:vMerge/>
            <w:vAlign w:val="center"/>
          </w:tcPr>
          <w:p w14:paraId="24542B1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069A3A" w14:textId="476B56B8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45780B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1BF261B9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12 +/- 14 dni od dnia podania limfocytów CAR-T  </w:t>
            </w:r>
          </w:p>
        </w:tc>
      </w:tr>
    </w:tbl>
    <w:p w14:paraId="67F3B9AB" w14:textId="77777777" w:rsidR="00474FC2" w:rsidRPr="000D027A" w:rsidRDefault="00474FC2" w:rsidP="000F6B63">
      <w:pPr>
        <w:jc w:val="both"/>
        <w:rPr>
          <w:rFonts w:ascii="Source Serif Pro" w:hAnsi="Source Serif Pro"/>
        </w:rPr>
      </w:pPr>
    </w:p>
    <w:p w14:paraId="51AEEE7C" w14:textId="40D50AD2" w:rsidR="000F6B63" w:rsidRPr="000D027A" w:rsidRDefault="000F6B63" w:rsidP="00904A57">
      <w:pPr>
        <w:pStyle w:val="Akapitzlist"/>
        <w:numPr>
          <w:ilvl w:val="0"/>
          <w:numId w:val="3"/>
        </w:numPr>
        <w:spacing w:before="120" w:after="0" w:line="240" w:lineRule="auto"/>
        <w:ind w:left="567" w:hanging="141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Ośrodki badawcze biorące udział w Badaniu klinicznym:</w:t>
      </w:r>
    </w:p>
    <w:p w14:paraId="618D1A5F" w14:textId="3D2F856A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bookmarkStart w:id="1" w:name="_Hlk72933180"/>
      <w:bookmarkStart w:id="2" w:name="_Hlk72933581"/>
      <w:r w:rsidRPr="000D027A">
        <w:rPr>
          <w:rFonts w:ascii="Source Serif Pro" w:hAnsi="Source Serif Pro" w:cstheme="minorHAnsi"/>
          <w:sz w:val="20"/>
          <w:szCs w:val="20"/>
        </w:rPr>
        <w:t>Uniwersyteckie Centrum Kliniczne Warszawskiego Uniwersytetu Medycznego, Centralny Szpital Kliniczny ul. Banacha 1a, 02-097 Warszawa;</w:t>
      </w:r>
    </w:p>
    <w:bookmarkEnd w:id="1"/>
    <w:p w14:paraId="7D39A38C" w14:textId="77777777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Instytut Hematologii i Transfuzjologii ul. Gandhi 14, 02-776 Warszawa;</w:t>
      </w:r>
    </w:p>
    <w:p w14:paraId="2744276C" w14:textId="3B82EFF8" w:rsidR="000F6B63" w:rsidRPr="000D027A" w:rsidRDefault="000F6B63" w:rsidP="0069322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Narodowy Instytut Onkologii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im. Marii Skłodowskiej-Curie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Państwowy Instytut Badawczy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Oddział w Gliwicach ul. Wybrzeże Armii Krajowej 15, 44-102 Gliwice.</w:t>
      </w:r>
      <w:bookmarkEnd w:id="2"/>
    </w:p>
    <w:p w14:paraId="0109C075" w14:textId="77777777" w:rsidR="000F6B63" w:rsidRPr="000D027A" w:rsidRDefault="000F6B63" w:rsidP="00693220">
      <w:pPr>
        <w:pStyle w:val="Akapitzlist"/>
        <w:spacing w:before="120" w:after="0" w:line="240" w:lineRule="auto"/>
        <w:ind w:left="1440"/>
        <w:jc w:val="both"/>
        <w:rPr>
          <w:rFonts w:ascii="Source Serif Pro" w:hAnsi="Source Serif Pro" w:cstheme="minorHAnsi"/>
          <w:sz w:val="20"/>
          <w:szCs w:val="20"/>
        </w:rPr>
      </w:pPr>
    </w:p>
    <w:p w14:paraId="088DC1FB" w14:textId="25D48013" w:rsidR="000F6B63" w:rsidRDefault="00B168A0" w:rsidP="00693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Maksymalna </w:t>
      </w:r>
      <w:r w:rsidR="000F6B63" w:rsidRPr="000D027A">
        <w:rPr>
          <w:rFonts w:ascii="Source Serif Pro" w:hAnsi="Source Serif Pro" w:cstheme="minorHAnsi"/>
          <w:sz w:val="20"/>
          <w:szCs w:val="20"/>
        </w:rPr>
        <w:t>Liczba Pacjentów: 20</w:t>
      </w:r>
    </w:p>
    <w:p w14:paraId="72C92D45" w14:textId="77777777" w:rsidR="00347049" w:rsidRPr="000D027A" w:rsidRDefault="00347049" w:rsidP="00347049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</w:p>
    <w:p w14:paraId="6981FAD0" w14:textId="750FC717" w:rsidR="00101486" w:rsidRPr="000D027A" w:rsidRDefault="00B168A0" w:rsidP="003A3384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Płatność kwartalna na podstawie protokołu odbioru częściowego z wyszczególnieniem jednostkowym</w:t>
      </w:r>
      <w:r w:rsidR="00547B03" w:rsidRPr="000D027A">
        <w:rPr>
          <w:rFonts w:ascii="Source Serif Pro" w:hAnsi="Source Serif Pro" w:cstheme="minorHAnsi"/>
          <w:sz w:val="20"/>
          <w:szCs w:val="20"/>
        </w:rPr>
        <w:t xml:space="preserve"> za każde badanie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: płatność w przeliczeniu </w:t>
      </w:r>
      <w:r w:rsidR="00547B03" w:rsidRPr="000D027A">
        <w:rPr>
          <w:rFonts w:ascii="Source Serif Pro" w:hAnsi="Source Serif Pro" w:cstheme="minorHAnsi"/>
          <w:sz w:val="20"/>
          <w:szCs w:val="20"/>
        </w:rPr>
        <w:t>na liczbę wykonanych badań w danym kwartale</w:t>
      </w:r>
      <w:r w:rsidR="00835787" w:rsidRPr="000D027A">
        <w:rPr>
          <w:rFonts w:ascii="Source Serif Pro" w:hAnsi="Source Serif Pro" w:cstheme="minorHAnsi"/>
          <w:sz w:val="20"/>
          <w:szCs w:val="20"/>
        </w:rPr>
        <w:t>.</w:t>
      </w:r>
    </w:p>
    <w:p w14:paraId="149D1611" w14:textId="768F928A" w:rsidR="00B168A0" w:rsidRPr="000D027A" w:rsidRDefault="00A30504" w:rsidP="00B168A0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Próbki będą oznaczane  </w:t>
      </w:r>
      <w:r w:rsidR="00A15A7D" w:rsidRPr="000D027A">
        <w:rPr>
          <w:rFonts w:ascii="Source Serif Pro" w:hAnsi="Source Serif Pro" w:cstheme="minorHAnsi"/>
          <w:sz w:val="20"/>
          <w:szCs w:val="20"/>
        </w:rPr>
        <w:t>n</w:t>
      </w:r>
      <w:r w:rsidRPr="000D027A">
        <w:rPr>
          <w:rFonts w:ascii="Source Serif Pro" w:hAnsi="Source Serif Pro" w:cstheme="minorHAnsi"/>
          <w:sz w:val="20"/>
          <w:szCs w:val="20"/>
        </w:rPr>
        <w:t>umerem pacjenta</w:t>
      </w:r>
      <w:r w:rsidR="00A15A7D" w:rsidRPr="000D027A">
        <w:rPr>
          <w:rFonts w:ascii="Source Serif Pro" w:hAnsi="Source Serif Pro" w:cstheme="minorHAnsi"/>
          <w:sz w:val="20"/>
          <w:szCs w:val="20"/>
        </w:rPr>
        <w:t>,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który zostanie wpisany na protokole odbioru częściowego. </w:t>
      </w:r>
    </w:p>
    <w:p w14:paraId="65455783" w14:textId="77777777" w:rsidR="00835787" w:rsidRPr="000D027A" w:rsidRDefault="00F72B91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Usługa zostanie uznana za wykonaną w momencie dostarczenia wyniku </w:t>
      </w:r>
      <w:r w:rsidR="005B18BA" w:rsidRPr="000D027A">
        <w:rPr>
          <w:rFonts w:ascii="Source Serif Pro" w:hAnsi="Source Serif Pro"/>
          <w:sz w:val="20"/>
          <w:szCs w:val="20"/>
        </w:rPr>
        <w:t>z analizy dostarczonej</w:t>
      </w:r>
      <w:r w:rsidRPr="000D027A">
        <w:rPr>
          <w:rFonts w:ascii="Source Serif Pro" w:hAnsi="Source Serif Pro"/>
          <w:sz w:val="20"/>
          <w:szCs w:val="20"/>
        </w:rPr>
        <w:t xml:space="preserve"> próbki</w:t>
      </w:r>
      <w:r w:rsidR="005B18BA" w:rsidRPr="000D027A">
        <w:rPr>
          <w:rFonts w:ascii="Source Serif Pro" w:hAnsi="Source Serif Pro"/>
          <w:sz w:val="20"/>
          <w:szCs w:val="20"/>
        </w:rPr>
        <w:t>,</w:t>
      </w:r>
      <w:r w:rsidRPr="000D027A">
        <w:rPr>
          <w:rFonts w:ascii="Source Serif Pro" w:hAnsi="Source Serif Pro"/>
          <w:sz w:val="20"/>
          <w:szCs w:val="20"/>
        </w:rPr>
        <w:t xml:space="preserve"> w wymaganym zakresie. </w:t>
      </w:r>
    </w:p>
    <w:p w14:paraId="19EAB66C" w14:textId="7955A26E" w:rsidR="000F6B63" w:rsidRPr="000D027A" w:rsidRDefault="001264FB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bookmarkStart w:id="3" w:name="_Hlk141342673"/>
      <w:r w:rsidRPr="000D027A">
        <w:rPr>
          <w:rFonts w:ascii="Source Serif Pro" w:hAnsi="Source Serif Pro"/>
          <w:sz w:val="20"/>
          <w:szCs w:val="20"/>
        </w:rPr>
        <w:t xml:space="preserve">Forma przekazania wyniku: </w:t>
      </w:r>
    </w:p>
    <w:p w14:paraId="3EADB506" w14:textId="321EC8DF" w:rsidR="00B168A0" w:rsidRPr="000D027A" w:rsidRDefault="00A15A7D" w:rsidP="005C07DF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m</w:t>
      </w:r>
      <w:r w:rsidR="001264FB" w:rsidRPr="000D027A">
        <w:rPr>
          <w:rFonts w:ascii="Source Serif Pro" w:hAnsi="Source Serif Pro"/>
          <w:sz w:val="20"/>
          <w:szCs w:val="20"/>
        </w:rPr>
        <w:t>ailowo na adres</w:t>
      </w:r>
      <w:r w:rsidRPr="000D027A">
        <w:rPr>
          <w:rFonts w:ascii="Source Serif Pro" w:hAnsi="Source Serif Pro"/>
          <w:sz w:val="20"/>
          <w:szCs w:val="20"/>
        </w:rPr>
        <w:t xml:space="preserve">y: </w:t>
      </w:r>
      <w:hyperlink r:id="rId10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grzegorz.basak@wum.edu.pl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 oraz </w:t>
      </w:r>
      <w:hyperlink r:id="rId11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bhematologia@wum.edu.pl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; </w:t>
      </w:r>
    </w:p>
    <w:bookmarkEnd w:id="3"/>
    <w:p w14:paraId="18260112" w14:textId="77777777" w:rsidR="000F6B63" w:rsidRPr="000D027A" w:rsidRDefault="000F6B63" w:rsidP="00693220">
      <w:pPr>
        <w:pStyle w:val="Akapitzlist"/>
        <w:jc w:val="both"/>
        <w:rPr>
          <w:rFonts w:ascii="Source Serif Pro" w:hAnsi="Source Serif Pro"/>
        </w:rPr>
      </w:pPr>
    </w:p>
    <w:p w14:paraId="20F2A80F" w14:textId="16A1ACFD" w:rsidR="000F6B63" w:rsidRPr="000D027A" w:rsidRDefault="000A6050" w:rsidP="00693220">
      <w:pPr>
        <w:pStyle w:val="Akapitzlist"/>
        <w:numPr>
          <w:ilvl w:val="0"/>
          <w:numId w:val="3"/>
        </w:numPr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lastRenderedPageBreak/>
        <w:t>Usługi</w:t>
      </w:r>
      <w:r w:rsidR="000F6B63" w:rsidRPr="000D027A">
        <w:rPr>
          <w:rFonts w:ascii="Source Serif Pro" w:hAnsi="Source Serif Pro"/>
          <w:sz w:val="20"/>
          <w:szCs w:val="20"/>
        </w:rPr>
        <w:t xml:space="preserve"> obejmujące:</w:t>
      </w:r>
      <w:r w:rsidR="00347049">
        <w:rPr>
          <w:rFonts w:ascii="Source Serif Pro" w:hAnsi="Source Serif Pro"/>
          <w:sz w:val="20"/>
          <w:szCs w:val="20"/>
        </w:rPr>
        <w:t xml:space="preserve"> </w:t>
      </w:r>
      <w:r w:rsidR="000F6B63" w:rsidRPr="000D027A">
        <w:rPr>
          <w:rFonts w:ascii="Source Serif Pro" w:hAnsi="Source Serif Pro"/>
          <w:sz w:val="20"/>
          <w:szCs w:val="20"/>
        </w:rPr>
        <w:t xml:space="preserve">Identyfikację podtypu molekularnego ostrej białaczki </w:t>
      </w:r>
      <w:proofErr w:type="spellStart"/>
      <w:r w:rsidR="000F6B63" w:rsidRPr="000D027A">
        <w:rPr>
          <w:rFonts w:ascii="Source Serif Pro" w:hAnsi="Source Serif Pro"/>
          <w:sz w:val="20"/>
          <w:szCs w:val="20"/>
        </w:rPr>
        <w:t>limfoblastycznej</w:t>
      </w:r>
      <w:proofErr w:type="spellEnd"/>
      <w:r w:rsidR="000F6B63" w:rsidRPr="000D027A">
        <w:rPr>
          <w:rFonts w:ascii="Source Serif Pro" w:hAnsi="Source Serif Pro"/>
          <w:sz w:val="20"/>
          <w:szCs w:val="20"/>
        </w:rPr>
        <w:t xml:space="preserve"> oraz</w:t>
      </w:r>
      <w:r w:rsidR="00775DDF" w:rsidRPr="00775DDF">
        <w:t xml:space="preserve"> </w:t>
      </w:r>
      <w:r w:rsidR="00775DDF" w:rsidRPr="00775DDF">
        <w:rPr>
          <w:rFonts w:ascii="Source Serif Pro" w:hAnsi="Source Serif Pro"/>
          <w:sz w:val="20"/>
          <w:szCs w:val="20"/>
        </w:rPr>
        <w:t>Ocen</w:t>
      </w:r>
      <w:r w:rsidR="00775DDF">
        <w:rPr>
          <w:rFonts w:ascii="Source Serif Pro" w:hAnsi="Source Serif Pro"/>
          <w:sz w:val="20"/>
          <w:szCs w:val="20"/>
        </w:rPr>
        <w:t>ę</w:t>
      </w:r>
      <w:r w:rsidR="00775DDF" w:rsidRPr="00775DDF">
        <w:rPr>
          <w:rFonts w:ascii="Source Serif Pro" w:hAnsi="Source Serif Pro"/>
          <w:sz w:val="20"/>
          <w:szCs w:val="20"/>
        </w:rPr>
        <w:t xml:space="preserve"> choroby resztkowej (MRD) metodą molekularną 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qPCR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(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rearanżacje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genów TCR i Ig) wg standardu EURO-MRD</w:t>
      </w:r>
      <w:r w:rsidR="000F6B63" w:rsidRPr="000D027A">
        <w:rPr>
          <w:rFonts w:ascii="Source Serif Pro" w:hAnsi="Source Serif Pro"/>
          <w:sz w:val="20"/>
          <w:szCs w:val="20"/>
        </w:rPr>
        <w:t xml:space="preserve"> muszą odbywać się w jednym laboratorium.</w:t>
      </w:r>
    </w:p>
    <w:p w14:paraId="325F6766" w14:textId="7822635A" w:rsidR="00A30504" w:rsidRPr="000D027A" w:rsidRDefault="00A30504" w:rsidP="00A30504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W </w:t>
      </w:r>
      <w:r w:rsidRPr="000A6050">
        <w:rPr>
          <w:rFonts w:ascii="Source Serif Pro" w:hAnsi="Source Serif Pro"/>
          <w:sz w:val="20"/>
          <w:szCs w:val="20"/>
        </w:rPr>
        <w:t>sumie</w:t>
      </w:r>
      <w:r w:rsidR="00347049" w:rsidRPr="000A6050">
        <w:rPr>
          <w:rFonts w:ascii="Source Serif Pro" w:hAnsi="Source Serif Pro"/>
          <w:sz w:val="20"/>
          <w:szCs w:val="20"/>
        </w:rPr>
        <w:t xml:space="preserve"> dla każdego pacjenta</w:t>
      </w:r>
      <w:r w:rsidRPr="000A6050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wykonane zostaną 4 badania, z czego czwarte zostanie powtórzone czterokrotnie w różnych odstępach czasowych. </w:t>
      </w:r>
    </w:p>
    <w:p w14:paraId="49094240" w14:textId="77777777" w:rsidR="000F6B63" w:rsidRPr="000D027A" w:rsidRDefault="000F6B63" w:rsidP="000F6B63">
      <w:pPr>
        <w:pStyle w:val="Akapitzlist"/>
        <w:rPr>
          <w:rFonts w:ascii="Source Serif Pro" w:hAnsi="Source Serif Pro"/>
          <w:sz w:val="20"/>
          <w:szCs w:val="20"/>
        </w:rPr>
      </w:pPr>
    </w:p>
    <w:p w14:paraId="34C37CBF" w14:textId="30299647" w:rsidR="000F6B63" w:rsidRPr="000D027A" w:rsidRDefault="00693220" w:rsidP="00693220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Transport próbek z każdego z trzech ośrodków badawczych do laboratorium Wykonawcy zapewnia Sponsor badania klinicznego</w:t>
      </w:r>
      <w:r w:rsidR="00032A8E" w:rsidRPr="000D027A">
        <w:rPr>
          <w:rFonts w:ascii="Source Serif Pro" w:hAnsi="Source Serif Pro"/>
          <w:sz w:val="20"/>
          <w:szCs w:val="20"/>
        </w:rPr>
        <w:t xml:space="preserve"> tj. WUM</w:t>
      </w:r>
      <w:r w:rsidRPr="000D027A">
        <w:rPr>
          <w:rFonts w:ascii="Source Serif Pro" w:hAnsi="Source Serif Pro"/>
          <w:sz w:val="20"/>
          <w:szCs w:val="20"/>
        </w:rPr>
        <w:t xml:space="preserve">. </w:t>
      </w:r>
    </w:p>
    <w:p w14:paraId="5067DD5D" w14:textId="77777777" w:rsidR="00A30504" w:rsidRPr="000D027A" w:rsidRDefault="00A30504" w:rsidP="00A30504">
      <w:pPr>
        <w:pStyle w:val="Akapitzlist"/>
        <w:ind w:left="1080"/>
        <w:rPr>
          <w:rFonts w:ascii="Source Serif Pro" w:hAnsi="Source Serif Pro"/>
          <w:sz w:val="20"/>
          <w:szCs w:val="20"/>
        </w:rPr>
      </w:pPr>
    </w:p>
    <w:p w14:paraId="6921C9F9" w14:textId="2A883178" w:rsidR="00A15A7D" w:rsidRPr="000D027A" w:rsidRDefault="00347049" w:rsidP="00A15A7D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 xml:space="preserve">Obowiązki </w:t>
      </w:r>
      <w:r w:rsidR="00A30504" w:rsidRPr="000D027A">
        <w:rPr>
          <w:rFonts w:ascii="Source Serif Pro" w:hAnsi="Source Serif Pro"/>
          <w:sz w:val="20"/>
          <w:szCs w:val="20"/>
        </w:rPr>
        <w:t xml:space="preserve"> Wykonawc</w:t>
      </w:r>
      <w:r>
        <w:rPr>
          <w:rFonts w:ascii="Source Serif Pro" w:hAnsi="Source Serif Pro"/>
          <w:sz w:val="20"/>
          <w:szCs w:val="20"/>
        </w:rPr>
        <w:t>y</w:t>
      </w:r>
      <w:r w:rsidR="00A30504" w:rsidRPr="000D027A">
        <w:rPr>
          <w:rFonts w:ascii="Source Serif Pro" w:hAnsi="Source Serif Pro"/>
          <w:sz w:val="20"/>
          <w:szCs w:val="20"/>
        </w:rPr>
        <w:t xml:space="preserve"> usługi:</w:t>
      </w:r>
    </w:p>
    <w:p w14:paraId="504E4A0B" w14:textId="77777777" w:rsidR="00A15A7D" w:rsidRPr="000D027A" w:rsidRDefault="00A15A7D" w:rsidP="00A15A7D">
      <w:pPr>
        <w:pStyle w:val="Akapitzlist"/>
        <w:rPr>
          <w:rFonts w:ascii="Source Serif Pro" w:eastAsia="Times New Roman" w:hAnsi="Source Serif Pro"/>
          <w:color w:val="000000"/>
          <w:sz w:val="20"/>
          <w:szCs w:val="20"/>
        </w:rPr>
      </w:pPr>
    </w:p>
    <w:p w14:paraId="3129339A" w14:textId="77777777" w:rsidR="00A15A7D" w:rsidRPr="000D027A" w:rsidRDefault="00A15A7D" w:rsidP="00A15A7D">
      <w:pPr>
        <w:pStyle w:val="Akapitzlist"/>
        <w:ind w:left="1080"/>
        <w:rPr>
          <w:rFonts w:ascii="Source Serif Pro" w:eastAsia="Times New Roman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>Wykonawca zobowiązany jest:</w:t>
      </w:r>
    </w:p>
    <w:p w14:paraId="5187FD28" w14:textId="77777777" w:rsidR="00775DDF" w:rsidRPr="008A4577" w:rsidRDefault="00A15A7D" w:rsidP="00A15A7D">
      <w:pPr>
        <w:pStyle w:val="Akapitzlist"/>
        <w:numPr>
          <w:ilvl w:val="0"/>
          <w:numId w:val="6"/>
        </w:numPr>
        <w:jc w:val="both"/>
        <w:rPr>
          <w:rStyle w:val="contentpasted1"/>
          <w:rFonts w:ascii="Source Serif Pro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 xml:space="preserve"> wykonać badania 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Identyfikacji podtypu molekularnego ostrej białaczki </w:t>
      </w:r>
      <w:proofErr w:type="spellStart"/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limfoblastycznej</w:t>
      </w:r>
      <w:proofErr w:type="spellEnd"/>
      <w:r w:rsidRPr="000D027A">
        <w:rPr>
          <w:rStyle w:val="contentpasted1"/>
          <w:rFonts w:ascii="Source Serif Pro" w:eastAsia="Times New Roman" w:hAnsi="Source Serif Pro"/>
          <w:b/>
          <w:bCs/>
          <w:color w:val="000000"/>
          <w:sz w:val="20"/>
          <w:szCs w:val="20"/>
        </w:rPr>
        <w:t xml:space="preserve"> 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przy pomocy</w:t>
      </w:r>
      <w:r w:rsid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:</w:t>
      </w:r>
    </w:p>
    <w:p w14:paraId="1C95CA2C" w14:textId="5744DE73" w:rsidR="00A15A7D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a)</w:t>
      </w:r>
      <w:r w:rsidR="00A15A7D"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 </w:t>
      </w:r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wysokorozdzielczych 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mikromacierzy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 SNP (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Cytoscan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 HD, 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Affymetrix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) </w:t>
      </w:r>
      <w:r w:rsidRPr="00775DDF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w celu identyfikacji liczby kopii genów, zmian strukturalnych chromosomów oraz maskowanej </w:t>
      </w:r>
      <w:proofErr w:type="spellStart"/>
      <w:r w:rsidRPr="00775DDF">
        <w:rPr>
          <w:rStyle w:val="contentpasted2"/>
          <w:rFonts w:ascii="Source Serif Pro" w:hAnsi="Source Serif Pro"/>
          <w:color w:val="000000"/>
          <w:sz w:val="20"/>
          <w:szCs w:val="20"/>
        </w:rPr>
        <w:t>hipodiploidii</w:t>
      </w:r>
      <w:proofErr w:type="spellEnd"/>
      <w:r>
        <w:rPr>
          <w:rStyle w:val="contentpasted2"/>
          <w:rFonts w:ascii="Source Serif Pro" w:hAnsi="Source Serif Pro"/>
          <w:color w:val="000000"/>
          <w:sz w:val="20"/>
          <w:szCs w:val="20"/>
        </w:rPr>
        <w:t>;</w:t>
      </w:r>
    </w:p>
    <w:p w14:paraId="3C9CB2FA" w14:textId="3822B593" w:rsidR="00775DDF" w:rsidRPr="000D027A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b) s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ekwencjonowani</w:t>
      </w: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 RNA metodą NGS (</w:t>
      </w:r>
      <w:proofErr w:type="spellStart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Pancancer</w:t>
      </w:r>
      <w:proofErr w:type="spellEnd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 Panel, </w:t>
      </w:r>
      <w:proofErr w:type="spellStart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Illumina</w:t>
      </w:r>
      <w:proofErr w:type="spellEnd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) w celu identyfikacji mutacji punktowych oraz fuzji genów</w:t>
      </w:r>
      <w:r w:rsidR="00502347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;</w:t>
      </w:r>
    </w:p>
    <w:p w14:paraId="6BEBDD96" w14:textId="1B6E06A7" w:rsidR="00A15A7D" w:rsidRPr="008A4577" w:rsidRDefault="00775DDF" w:rsidP="00A15A7D">
      <w:pPr>
        <w:pStyle w:val="Akapitzlist"/>
        <w:numPr>
          <w:ilvl w:val="0"/>
          <w:numId w:val="6"/>
        </w:numPr>
        <w:jc w:val="both"/>
        <w:rPr>
          <w:rStyle w:val="contentpasted4"/>
          <w:rFonts w:ascii="Source Serif Pro" w:hAnsi="Source Serif Pro"/>
          <w:color w:val="000000"/>
          <w:sz w:val="20"/>
          <w:szCs w:val="20"/>
        </w:rPr>
      </w:pPr>
      <w:r>
        <w:rPr>
          <w:rStyle w:val="contentpasted3"/>
          <w:rFonts w:ascii="Source Serif Pro" w:hAnsi="Source Serif Pro"/>
          <w:color w:val="000000"/>
          <w:sz w:val="20"/>
          <w:szCs w:val="20"/>
        </w:rPr>
        <w:t>W</w:t>
      </w:r>
      <w:r w:rsidR="00A15A7D" w:rsidRPr="000D027A">
        <w:rPr>
          <w:rStyle w:val="contentpasted3"/>
          <w:rFonts w:ascii="Source Serif Pro" w:hAnsi="Source Serif Pro"/>
          <w:color w:val="000000"/>
          <w:sz w:val="20"/>
          <w:szCs w:val="20"/>
        </w:rPr>
        <w:t xml:space="preserve">ykonać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ocenę choroby resztkowej (MRD) metodą molekularną </w:t>
      </w:r>
      <w:proofErr w:type="spellStart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>qPCR</w:t>
      </w:r>
      <w:proofErr w:type="spellEnd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 (</w:t>
      </w:r>
      <w:proofErr w:type="spellStart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>rearanżacje</w:t>
      </w:r>
      <w:proofErr w:type="spellEnd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 genów TCR i Ig)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  <w:u w:val="single"/>
        </w:rPr>
        <w:t xml:space="preserve">koniecznie zgodnie ze </w:t>
      </w:r>
      <w:r w:rsidR="00A15A7D"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>standardem EURO-MRD</w:t>
      </w:r>
      <w:r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 xml:space="preserve"> na co składa się:</w:t>
      </w:r>
    </w:p>
    <w:p w14:paraId="6DA5F891" w14:textId="7BBCD6A0" w:rsidR="00775DDF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a)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Identyfikacja markera molekularnego klonu białaczkowego (</w:t>
      </w:r>
      <w:proofErr w:type="spellStart"/>
      <w:r w:rsidRPr="00775DDF">
        <w:rPr>
          <w:rFonts w:ascii="Source Serif Pro" w:hAnsi="Source Serif Pro"/>
          <w:color w:val="000000"/>
          <w:sz w:val="20"/>
          <w:szCs w:val="20"/>
        </w:rPr>
        <w:t>rearanżacje</w:t>
      </w:r>
      <w:proofErr w:type="spellEnd"/>
      <w:r w:rsidRPr="00775DDF">
        <w:rPr>
          <w:rFonts w:ascii="Source Serif Pro" w:hAnsi="Source Serif Pro"/>
          <w:color w:val="000000"/>
          <w:sz w:val="20"/>
          <w:szCs w:val="20"/>
        </w:rPr>
        <w:t xml:space="preserve"> genów TCR i Ig)</w:t>
      </w:r>
      <w:r w:rsidR="00502347">
        <w:rPr>
          <w:rFonts w:ascii="Source Serif Pro" w:hAnsi="Source Serif Pro"/>
          <w:color w:val="000000"/>
          <w:sz w:val="20"/>
          <w:szCs w:val="20"/>
        </w:rPr>
        <w:t>;</w:t>
      </w:r>
    </w:p>
    <w:p w14:paraId="53E4C902" w14:textId="1682A479" w:rsidR="00775DDF" w:rsidRPr="008A4577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b)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502347">
        <w:rPr>
          <w:rFonts w:ascii="Source Serif Pro" w:hAnsi="Source Serif Pro"/>
          <w:color w:val="000000"/>
          <w:sz w:val="20"/>
          <w:szCs w:val="20"/>
        </w:rPr>
        <w:t>.</w:t>
      </w:r>
    </w:p>
    <w:p w14:paraId="291B81F0" w14:textId="77777777" w:rsidR="00A15A7D" w:rsidRPr="000D027A" w:rsidRDefault="00A15A7D" w:rsidP="00A15A7D">
      <w:pPr>
        <w:pStyle w:val="Akapitzlist"/>
        <w:ind w:left="1080"/>
        <w:rPr>
          <w:rFonts w:ascii="Source Serif Pro" w:hAnsi="Source Serif Pro"/>
        </w:rPr>
      </w:pPr>
    </w:p>
    <w:p w14:paraId="5C195991" w14:textId="77777777" w:rsidR="000F6B63" w:rsidRPr="000D027A" w:rsidRDefault="000F6B63">
      <w:pPr>
        <w:rPr>
          <w:rFonts w:ascii="Source Serif Pro" w:hAnsi="Source Serif Pro"/>
        </w:rPr>
      </w:pPr>
    </w:p>
    <w:p w14:paraId="07133551" w14:textId="77777777" w:rsidR="000F6B63" w:rsidRPr="000D027A" w:rsidRDefault="000F6B63">
      <w:pPr>
        <w:rPr>
          <w:rFonts w:ascii="Source Serif Pro" w:hAnsi="Source Serif Pro"/>
        </w:rPr>
      </w:pPr>
    </w:p>
    <w:p w14:paraId="6BA479C6" w14:textId="77777777" w:rsidR="000F6B63" w:rsidRPr="005C07DF" w:rsidRDefault="000F6B63">
      <w:pPr>
        <w:rPr>
          <w:rFonts w:ascii="Source Serif Pro" w:hAnsi="Source Serif Pro"/>
        </w:rPr>
      </w:pPr>
    </w:p>
    <w:p w14:paraId="07B4E58D" w14:textId="77777777" w:rsidR="000F6B63" w:rsidRPr="005C07DF" w:rsidRDefault="000F6B63">
      <w:pPr>
        <w:rPr>
          <w:rFonts w:ascii="Source Serif Pro" w:hAnsi="Source Serif Pro"/>
        </w:rPr>
      </w:pPr>
    </w:p>
    <w:p w14:paraId="70531D96" w14:textId="77777777" w:rsidR="000F6B63" w:rsidRPr="005C07DF" w:rsidRDefault="000F6B63">
      <w:pPr>
        <w:rPr>
          <w:rFonts w:ascii="Source Serif Pro" w:hAnsi="Source Serif Pro"/>
        </w:rPr>
      </w:pPr>
    </w:p>
    <w:p w14:paraId="692E13BA" w14:textId="77777777" w:rsidR="000F6B63" w:rsidRPr="005C07DF" w:rsidRDefault="000F6B63">
      <w:pPr>
        <w:rPr>
          <w:rFonts w:ascii="Source Serif Pro" w:hAnsi="Source Serif Pro"/>
        </w:rPr>
      </w:pPr>
    </w:p>
    <w:p w14:paraId="4BE7BE6D" w14:textId="77777777" w:rsidR="000F6B63" w:rsidRPr="005C07DF" w:rsidRDefault="000F6B63">
      <w:pPr>
        <w:rPr>
          <w:rFonts w:ascii="Source Serif Pro" w:hAnsi="Source Serif Pro"/>
        </w:rPr>
      </w:pPr>
    </w:p>
    <w:p w14:paraId="3D19ADC8" w14:textId="77777777" w:rsidR="000F6B63" w:rsidRPr="005C07DF" w:rsidRDefault="000F6B63">
      <w:pPr>
        <w:rPr>
          <w:rFonts w:ascii="Source Serif Pro" w:hAnsi="Source Serif Pro"/>
        </w:rPr>
      </w:pPr>
    </w:p>
    <w:p w14:paraId="540FAC14" w14:textId="77777777" w:rsidR="000F6B63" w:rsidRPr="005C07DF" w:rsidRDefault="000F6B63">
      <w:pPr>
        <w:rPr>
          <w:rFonts w:ascii="Source Serif Pro" w:hAnsi="Source Serif Pro"/>
        </w:rPr>
      </w:pPr>
    </w:p>
    <w:sectPr w:rsidR="000F6B63" w:rsidRPr="005C07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13AF" w14:textId="77777777" w:rsidR="005258C1" w:rsidRDefault="005258C1" w:rsidP="00BE6107">
      <w:pPr>
        <w:spacing w:after="0" w:line="240" w:lineRule="auto"/>
      </w:pPr>
      <w:r>
        <w:separator/>
      </w:r>
    </w:p>
  </w:endnote>
  <w:endnote w:type="continuationSeparator" w:id="0">
    <w:p w14:paraId="29496B1D" w14:textId="77777777" w:rsidR="005258C1" w:rsidRDefault="005258C1" w:rsidP="00B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2F0D" w14:textId="77777777" w:rsidR="005258C1" w:rsidRDefault="005258C1" w:rsidP="00BE6107">
      <w:pPr>
        <w:spacing w:after="0" w:line="240" w:lineRule="auto"/>
      </w:pPr>
      <w:r>
        <w:separator/>
      </w:r>
    </w:p>
  </w:footnote>
  <w:footnote w:type="continuationSeparator" w:id="0">
    <w:p w14:paraId="66BFAB41" w14:textId="77777777" w:rsidR="005258C1" w:rsidRDefault="005258C1" w:rsidP="00B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FD7" w14:textId="328F6BD0" w:rsidR="00BE6107" w:rsidRPr="00BE6107" w:rsidRDefault="00BE6107">
    <w:pPr>
      <w:pStyle w:val="Nagwek"/>
      <w:rPr>
        <w:rFonts w:ascii="Source Serif Pro" w:hAnsi="Source Serif Pro"/>
      </w:rPr>
    </w:pPr>
    <w:r w:rsidRPr="00BE6107">
      <w:rPr>
        <w:rFonts w:ascii="Source Serif Pro" w:hAnsi="Source Serif Pro"/>
      </w:rPr>
      <w:t>znak sprawy AEZ/S-1</w:t>
    </w:r>
    <w:r w:rsidR="00D03C3B">
      <w:rPr>
        <w:rFonts w:ascii="Source Serif Pro" w:hAnsi="Source Serif Pro"/>
      </w:rPr>
      <w:t>72</w:t>
    </w:r>
    <w:r w:rsidRPr="00BE6107">
      <w:rPr>
        <w:rFonts w:ascii="Source Serif Pro" w:hAnsi="Source Serif Pro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8A"/>
    <w:multiLevelType w:val="hybridMultilevel"/>
    <w:tmpl w:val="C360E652"/>
    <w:lvl w:ilvl="0" w:tplc="0D0E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498"/>
    <w:multiLevelType w:val="hybridMultilevel"/>
    <w:tmpl w:val="FE5C9DDA"/>
    <w:lvl w:ilvl="0" w:tplc="45FC535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9369E"/>
    <w:multiLevelType w:val="hybridMultilevel"/>
    <w:tmpl w:val="F6967BE4"/>
    <w:lvl w:ilvl="0" w:tplc="4D566D1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7C8"/>
    <w:multiLevelType w:val="hybridMultilevel"/>
    <w:tmpl w:val="70F6E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FA"/>
    <w:multiLevelType w:val="hybridMultilevel"/>
    <w:tmpl w:val="B412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52DA"/>
    <w:multiLevelType w:val="hybridMultilevel"/>
    <w:tmpl w:val="CDBA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32B5"/>
    <w:multiLevelType w:val="hybridMultilevel"/>
    <w:tmpl w:val="F752AB7C"/>
    <w:lvl w:ilvl="0" w:tplc="FD02C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2751033">
    <w:abstractNumId w:val="2"/>
  </w:num>
  <w:num w:numId="2" w16cid:durableId="402610631">
    <w:abstractNumId w:val="5"/>
  </w:num>
  <w:num w:numId="3" w16cid:durableId="1255940811">
    <w:abstractNumId w:val="0"/>
  </w:num>
  <w:num w:numId="4" w16cid:durableId="526794772">
    <w:abstractNumId w:val="3"/>
  </w:num>
  <w:num w:numId="5" w16cid:durableId="54091378">
    <w:abstractNumId w:val="6"/>
  </w:num>
  <w:num w:numId="6" w16cid:durableId="584649697">
    <w:abstractNumId w:val="1"/>
  </w:num>
  <w:num w:numId="7" w16cid:durableId="202405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63"/>
    <w:rsid w:val="00032A8E"/>
    <w:rsid w:val="00063AA9"/>
    <w:rsid w:val="000A6050"/>
    <w:rsid w:val="000D027A"/>
    <w:rsid w:val="000F6B63"/>
    <w:rsid w:val="00101486"/>
    <w:rsid w:val="001264FB"/>
    <w:rsid w:val="001C1C66"/>
    <w:rsid w:val="003055C1"/>
    <w:rsid w:val="00347049"/>
    <w:rsid w:val="003A3384"/>
    <w:rsid w:val="003E592A"/>
    <w:rsid w:val="00474FC2"/>
    <w:rsid w:val="004E3CA0"/>
    <w:rsid w:val="00502347"/>
    <w:rsid w:val="00512064"/>
    <w:rsid w:val="005258C1"/>
    <w:rsid w:val="005453C0"/>
    <w:rsid w:val="00547B03"/>
    <w:rsid w:val="005B18BA"/>
    <w:rsid w:val="005C07DF"/>
    <w:rsid w:val="005C380A"/>
    <w:rsid w:val="00693220"/>
    <w:rsid w:val="00703A6D"/>
    <w:rsid w:val="00767B99"/>
    <w:rsid w:val="00775DDF"/>
    <w:rsid w:val="007C7332"/>
    <w:rsid w:val="00811E20"/>
    <w:rsid w:val="00835787"/>
    <w:rsid w:val="008A4577"/>
    <w:rsid w:val="008E6479"/>
    <w:rsid w:val="00904A57"/>
    <w:rsid w:val="00A15A7D"/>
    <w:rsid w:val="00A22F0F"/>
    <w:rsid w:val="00A30504"/>
    <w:rsid w:val="00A50511"/>
    <w:rsid w:val="00A85933"/>
    <w:rsid w:val="00B168A0"/>
    <w:rsid w:val="00BE3244"/>
    <w:rsid w:val="00BE6107"/>
    <w:rsid w:val="00BE7F76"/>
    <w:rsid w:val="00C117AB"/>
    <w:rsid w:val="00C85582"/>
    <w:rsid w:val="00C9345D"/>
    <w:rsid w:val="00C9772F"/>
    <w:rsid w:val="00CC4E60"/>
    <w:rsid w:val="00D03C3B"/>
    <w:rsid w:val="00D21B09"/>
    <w:rsid w:val="00F11272"/>
    <w:rsid w:val="00F72B91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B4DA"/>
  <w15:chartTrackingRefBased/>
  <w15:docId w15:val="{03B8E2B3-CEF4-4AA6-A543-3ABF860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0F6B63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0F6B63"/>
  </w:style>
  <w:style w:type="character" w:styleId="Pogrubienie">
    <w:name w:val="Strong"/>
    <w:basedOn w:val="Domylnaczcionkaakapitu"/>
    <w:uiPriority w:val="22"/>
    <w:qFormat/>
    <w:rsid w:val="000F6B63"/>
    <w:rPr>
      <w:b/>
      <w:bCs/>
    </w:rPr>
  </w:style>
  <w:style w:type="table" w:styleId="Tabela-Siatka">
    <w:name w:val="Table Grid"/>
    <w:basedOn w:val="Standardowy"/>
    <w:uiPriority w:val="39"/>
    <w:rsid w:val="00B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7AB"/>
    <w:rPr>
      <w:b/>
      <w:bCs/>
      <w:sz w:val="20"/>
      <w:szCs w:val="20"/>
    </w:rPr>
  </w:style>
  <w:style w:type="character" w:customStyle="1" w:styleId="contentpasted1">
    <w:name w:val="contentpasted1"/>
    <w:basedOn w:val="Domylnaczcionkaakapitu"/>
    <w:rsid w:val="00A15A7D"/>
  </w:style>
  <w:style w:type="character" w:customStyle="1" w:styleId="contentpasted2">
    <w:name w:val="contentpasted2"/>
    <w:basedOn w:val="Domylnaczcionkaakapitu"/>
    <w:rsid w:val="00A15A7D"/>
  </w:style>
  <w:style w:type="character" w:customStyle="1" w:styleId="contentpasted3">
    <w:name w:val="contentpasted3"/>
    <w:basedOn w:val="Domylnaczcionkaakapitu"/>
    <w:rsid w:val="00A15A7D"/>
  </w:style>
  <w:style w:type="character" w:customStyle="1" w:styleId="contentpasted4">
    <w:name w:val="contentpasted4"/>
    <w:basedOn w:val="Domylnaczcionkaakapitu"/>
    <w:rsid w:val="00A15A7D"/>
  </w:style>
  <w:style w:type="character" w:styleId="Hipercze">
    <w:name w:val="Hyperlink"/>
    <w:basedOn w:val="Domylnaczcionkaakapitu"/>
    <w:uiPriority w:val="99"/>
    <w:unhideWhenUsed/>
    <w:rsid w:val="00A15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07"/>
  </w:style>
  <w:style w:type="paragraph" w:styleId="Stopka">
    <w:name w:val="footer"/>
    <w:basedOn w:val="Normalny"/>
    <w:link w:val="Stopka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07"/>
  </w:style>
  <w:style w:type="paragraph" w:styleId="Poprawka">
    <w:name w:val="Revision"/>
    <w:hidden/>
    <w:uiPriority w:val="99"/>
    <w:semiHidden/>
    <w:rsid w:val="0077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matologia@wum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zegorz.basak@wum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46DDFA0DD484F8AD6A3FF81F17FA1" ma:contentTypeVersion="8" ma:contentTypeDescription="Utwórz nowy dokument." ma:contentTypeScope="" ma:versionID="bd9fe238e0c23d43f6bd66623c2351da">
  <xsd:schema xmlns:xsd="http://www.w3.org/2001/XMLSchema" xmlns:xs="http://www.w3.org/2001/XMLSchema" xmlns:p="http://schemas.microsoft.com/office/2006/metadata/properties" xmlns:ns3="21fa4518-cd47-47e7-9909-13742187fcee" xmlns:ns4="cb4d3695-d1fa-4f0f-b26b-2241acdcc3ce" targetNamespace="http://schemas.microsoft.com/office/2006/metadata/properties" ma:root="true" ma:fieldsID="8e438e6e43ff584a3f0e5ad6196b64dc" ns3:_="" ns4:_="">
    <xsd:import namespace="21fa4518-cd47-47e7-9909-13742187fcee"/>
    <xsd:import namespace="cb4d3695-d1fa-4f0f-b26b-2241acdcc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4518-cd47-47e7-9909-13742187f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3695-d1fa-4f0f-b26b-2241acdcc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fa4518-cd47-47e7-9909-13742187fcee" xsi:nil="true"/>
  </documentManagement>
</p:properties>
</file>

<file path=customXml/itemProps1.xml><?xml version="1.0" encoding="utf-8"?>
<ds:datastoreItem xmlns:ds="http://schemas.openxmlformats.org/officeDocument/2006/customXml" ds:itemID="{2F44AA47-6A15-4D91-A5A1-B39A7D40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a4518-cd47-47e7-9909-13742187fcee"/>
    <ds:schemaRef ds:uri="cb4d3695-d1fa-4f0f-b26b-2241acdc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615C5-BF46-46F9-AF86-2DCA36F54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33BB-BFF2-4C0B-A714-524ABCB8C7B1}">
  <ds:schemaRefs>
    <ds:schemaRef ds:uri="http://schemas.microsoft.com/office/2006/metadata/properties"/>
    <ds:schemaRef ds:uri="http://schemas.microsoft.com/office/infopath/2007/PartnerControls"/>
    <ds:schemaRef ds:uri="21fa4518-cd47-47e7-9909-13742187f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Witkowska</dc:creator>
  <cp:keywords/>
  <dc:description/>
  <cp:lastModifiedBy>Katarzyna Czarnocka</cp:lastModifiedBy>
  <cp:revision>10</cp:revision>
  <dcterms:created xsi:type="dcterms:W3CDTF">2023-07-28T08:59:00Z</dcterms:created>
  <dcterms:modified xsi:type="dcterms:W3CDTF">2023-11-27T11:32:00Z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0x0101006E146DDFA0DD484F8AD6A3FF81F17FA1</vt:lpwstr>
  </property>
</Properties>
</file>