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60EC" w14:textId="1DF1C6FD" w:rsidR="00936FDF" w:rsidRPr="007E1992" w:rsidRDefault="00936FDF" w:rsidP="00936FDF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/>
          <w:b/>
          <w:bCs/>
          <w:sz w:val="20"/>
        </w:rPr>
      </w:pPr>
      <w:r w:rsidRPr="007E1992">
        <w:rPr>
          <w:rFonts w:ascii="Source Serif Pro" w:hAnsi="Source Serif Pro"/>
          <w:b/>
          <w:bCs/>
          <w:sz w:val="20"/>
        </w:rPr>
        <w:t xml:space="preserve">Załącznik nr </w:t>
      </w:r>
      <w:r>
        <w:rPr>
          <w:rFonts w:ascii="Source Serif Pro" w:hAnsi="Source Serif Pro"/>
          <w:b/>
          <w:bCs/>
          <w:sz w:val="20"/>
        </w:rPr>
        <w:t>2</w:t>
      </w:r>
      <w:r w:rsidRPr="007E1992">
        <w:rPr>
          <w:rFonts w:ascii="Source Serif Pro" w:hAnsi="Source Serif Pro"/>
          <w:b/>
          <w:bCs/>
          <w:sz w:val="20"/>
        </w:rPr>
        <w:t xml:space="preserve"> do </w:t>
      </w:r>
      <w:r>
        <w:rPr>
          <w:rFonts w:ascii="Source Serif Pro" w:hAnsi="Source Serif Pro"/>
          <w:b/>
          <w:bCs/>
          <w:sz w:val="20"/>
        </w:rPr>
        <w:t>Ogłoszenia</w:t>
      </w:r>
    </w:p>
    <w:tbl>
      <w:tblPr>
        <w:tblW w:w="90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936FDF" w:rsidRPr="007E1992" w14:paraId="28B6F7D8" w14:textId="77777777" w:rsidTr="00E50D92">
        <w:tc>
          <w:tcPr>
            <w:tcW w:w="9072" w:type="dxa"/>
            <w:shd w:val="clear" w:color="auto" w:fill="DBE5F1" w:themeFill="accent1" w:themeFillTint="33"/>
          </w:tcPr>
          <w:p w14:paraId="47D3F050" w14:textId="27222E9B" w:rsidR="00936FDF" w:rsidRPr="007E1992" w:rsidRDefault="00936FDF" w:rsidP="00697AB7">
            <w:pPr>
              <w:pStyle w:val="Tytu"/>
              <w:spacing w:before="120" w:after="120"/>
              <w:jc w:val="center"/>
              <w:rPr>
                <w:rFonts w:ascii="Source Serif Pro" w:hAnsi="Source Serif Pro"/>
                <w:b/>
                <w:bCs/>
                <w:sz w:val="20"/>
              </w:rPr>
            </w:pPr>
            <w:r>
              <w:rPr>
                <w:rFonts w:ascii="Source Serif Pro" w:hAnsi="Source Serif Pro"/>
                <w:b/>
                <w:bCs/>
                <w:sz w:val="20"/>
              </w:rPr>
              <w:t>OPIS PRZEDMIOTU ZAMÓWIENIA</w:t>
            </w:r>
          </w:p>
        </w:tc>
      </w:tr>
    </w:tbl>
    <w:p w14:paraId="0E4ED796" w14:textId="77777777" w:rsidR="00936FDF" w:rsidRPr="007E1992" w:rsidRDefault="00936FDF" w:rsidP="00936FDF">
      <w:pPr>
        <w:pStyle w:val="Stopka"/>
        <w:spacing w:before="240"/>
        <w:rPr>
          <w:rFonts w:ascii="Source Serif Pro" w:hAnsi="Source Serif Pro" w:cs="Arial"/>
          <w:b/>
          <w:i/>
          <w:color w:val="000000"/>
          <w:sz w:val="20"/>
        </w:rPr>
      </w:pPr>
      <w:r w:rsidRPr="007E1992">
        <w:rPr>
          <w:rFonts w:ascii="Source Serif Pro" w:hAnsi="Source Serif Pro" w:cs="Arial"/>
          <w:bCs/>
          <w:sz w:val="20"/>
        </w:rPr>
        <w:t xml:space="preserve">w postępowaniu o udzielenie zamówienia publicznego, prowadzonym przez Warszawski Uniwersytet Medyczny, ul. Żwirki i Wigury 61, 02-091 Warszawa,  pn. </w:t>
      </w:r>
      <w:r>
        <w:rPr>
          <w:rFonts w:ascii="Source Serif Pro" w:hAnsi="Source Serif Pro" w:cs="Arial"/>
          <w:b/>
          <w:i/>
          <w:color w:val="000000"/>
          <w:sz w:val="20"/>
        </w:rPr>
        <w:t>U</w:t>
      </w:r>
      <w:r w:rsidRPr="00FE68EF">
        <w:rPr>
          <w:rFonts w:ascii="Source Serif Pro" w:hAnsi="Source Serif Pro" w:cs="Arial"/>
          <w:b/>
          <w:i/>
          <w:color w:val="000000"/>
          <w:sz w:val="20"/>
        </w:rPr>
        <w:t>sługa przeprowadzenia analiz proteomicznych i bioinformatycznych</w:t>
      </w:r>
      <w:r w:rsidRPr="007E1992">
        <w:rPr>
          <w:rFonts w:ascii="Source Serif Pro" w:hAnsi="Source Serif Pro" w:cs="Arial"/>
          <w:bCs/>
          <w:i/>
          <w:color w:val="000000"/>
          <w:sz w:val="20"/>
        </w:rPr>
        <w:t xml:space="preserve">, </w:t>
      </w:r>
      <w:r w:rsidRPr="007E1992">
        <w:rPr>
          <w:rFonts w:ascii="Source Serif Pro" w:hAnsi="Source Serif Pro" w:cs="Arial"/>
          <w:bCs/>
          <w:iCs/>
          <w:color w:val="000000"/>
          <w:sz w:val="20"/>
        </w:rPr>
        <w:t xml:space="preserve">znak sprawy: </w:t>
      </w:r>
      <w:r w:rsidRPr="007E1992">
        <w:rPr>
          <w:rFonts w:ascii="Source Serif Pro" w:hAnsi="Source Serif Pro" w:cs="Arial"/>
          <w:b/>
          <w:i/>
          <w:color w:val="000000"/>
          <w:sz w:val="20"/>
        </w:rPr>
        <w:t>AEZ/S-126/2023</w:t>
      </w:r>
    </w:p>
    <w:p w14:paraId="0F0F8B5A" w14:textId="77777777" w:rsidR="00936FDF" w:rsidRDefault="00936FD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D84CC3" w14:textId="77777777" w:rsidR="00936FDF" w:rsidRDefault="00936FD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E9EAA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>Zadanie: przeprowadzeni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analizy proteomicznej ilościowej – porównawczej wykorzystując metodę chromatografii cieczowej sprzężonej z wysokorozdzielczą tandemową spektrometrią mas (LC-MS/MS) nie wykorzystującej znakowania (tzw. “label-free”)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F31F5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analiza bioinformatyczna uzyskanych wyników proteomicznych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4F9A0F2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A03ECE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Eksperyment polega na porównaniu poziomów białek w dwóch typach materiału pobranego od pacjentów,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czterech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punktach czasowych.</w:t>
      </w:r>
    </w:p>
    <w:p w14:paraId="199624FA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1550E1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Przedmiotem usługi będą:</w:t>
      </w:r>
    </w:p>
    <w:p w14:paraId="3CCC9B35" w14:textId="77777777" w:rsidR="00E04F48" w:rsidRDefault="00E04F48" w:rsidP="00E04F4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analiz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proteomiczn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840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prób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ek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420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sztuki każdego z następujących rodzajów materiału biologicznego:</w:t>
      </w:r>
    </w:p>
    <w:p w14:paraId="106B276F" w14:textId="77777777" w:rsidR="00E04F48" w:rsidRDefault="00E04F48" w:rsidP="00E04F48">
      <w:pPr>
        <w:pStyle w:val="Akapitzlist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Wyskrobiny – fragmenty tkanki pozyskane podczas oczyszczania rany uczestników badania klinicznego, zabezpieczone preparatem „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Allprotect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(Qiagen), zamrożone w -80⁰C;</w:t>
      </w:r>
    </w:p>
    <w:p w14:paraId="79D4855E" w14:textId="77777777" w:rsidR="00E04F48" w:rsidRDefault="00E04F48" w:rsidP="00E04F48">
      <w:pPr>
        <w:pStyle w:val="Akapitzlist"/>
        <w:numPr>
          <w:ilvl w:val="1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Popłuczyny – płyn transportowy, w którym zawieszone były fragmenty tkanki pozyskane podczas oczyszczania rany uczestników badania klinicznego, przefiltrowany i zamrożony w alikwotach ok. 1ml w -80⁰C.</w:t>
      </w:r>
    </w:p>
    <w:p w14:paraId="690D6241" w14:textId="77777777" w:rsidR="00E04F48" w:rsidRPr="00E20FCF" w:rsidRDefault="00E04F48" w:rsidP="00E04F4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Analiza bioinformatyczna wyników uzyskanych w analizach proteomicznych</w:t>
      </w:r>
    </w:p>
    <w:p w14:paraId="417F423D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1CE3D8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(Warszawski Uniwersytet Medyczny) we współpracy z Konsorcjantem Projektu – Uniwersytetem Łódzkim, przekaże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analiz proteomicznych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materiał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4-6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turach zależnych od przyjęć pacjentów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Materiał będzie przekazany jak opisano: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15DAC76" w14:textId="77777777" w:rsidR="00E04F48" w:rsidRDefault="00E04F48" w:rsidP="00E04F48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przekaże materiał tkankowy tj. Wyskrobiny (w ilości co najmniej 100µg białka całkowitego w postaci porcji homogenatu uzyskanego bez wykorzystania proteinaz. Homogenat wyskrobin będzie umieszczony w probówkach typu „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low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-bind” o pojemności 1,5ml, zamrożony w temperaturze -80⁰C i w tej postaci dostarczony do Wykonawcy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AE004A" w14:textId="77777777" w:rsidR="00E04F48" w:rsidRPr="00E20FCF" w:rsidRDefault="00E04F48" w:rsidP="00E04F48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przekaże materiał płynowy tj. Popłuczyny (w ilości co najmniej 1ml płynu transportowego) w postaci porcji wcześniej przefiltrowanych przez filtr celulozowy o średnicy porów 0,22µm. Popłuczyny zostaną przekazane w probówkach typu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-bind” o pojemności 1,5ml, zamrożone w -80⁰C. Nie będą przeprowadzane żadne dodatkowe procedury poprzedzające przekazanie materiału.</w:t>
      </w:r>
    </w:p>
    <w:p w14:paraId="5B4DCD0E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C07870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przeprowadzi wszystkie procedury z wykorzystaniem odczynników o odpowiedniej czystości. W przypadku enzymów i rozpuszczalników organicznych oczekiwana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czystości MS-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lub HPLC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Odczynniki redukujące, alkilujące, kwasy organiczne i nieorganiczne o czystości HPLC-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lub ACS. Końcówki do pipet, próbówki, płytki 96-dołkowe i inne plastiki o jakości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-bind”, MS-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lub równoważnej. </w:t>
      </w:r>
    </w:p>
    <w:p w14:paraId="3CD93F2C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5956B2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Sposób postępowania z próbami:</w:t>
      </w:r>
    </w:p>
    <w:p w14:paraId="7F5FD116" w14:textId="4E39A921" w:rsidR="00E04F48" w:rsidRPr="00E20FCF" w:rsidRDefault="00E04F48" w:rsidP="00E04F48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/>
          <w:sz w:val="24"/>
          <w:szCs w:val="24"/>
        </w:rPr>
        <w:t xml:space="preserve">Próbki </w:t>
      </w:r>
      <w:proofErr w:type="spellStart"/>
      <w:r w:rsidRPr="00E20FCF">
        <w:rPr>
          <w:rFonts w:ascii="Times New Roman" w:eastAsia="Times New Roman" w:hAnsi="Times New Roman" w:cs="Times New Roman"/>
          <w:b/>
          <w:sz w:val="24"/>
          <w:szCs w:val="24"/>
        </w:rPr>
        <w:t>lizatu</w:t>
      </w:r>
      <w:proofErr w:type="spellEnd"/>
      <w:r w:rsidRPr="00E20FCF">
        <w:rPr>
          <w:rFonts w:ascii="Times New Roman" w:eastAsia="Times New Roman" w:hAnsi="Times New Roman" w:cs="Times New Roman"/>
          <w:b/>
          <w:sz w:val="24"/>
          <w:szCs w:val="24"/>
        </w:rPr>
        <w:t xml:space="preserve"> „wyskrobin”.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określenia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stężenia białek obecnych w poszczególnych próbkach. Kolejno pobranie takie</w:t>
      </w:r>
      <w:r w:rsidR="0038348B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samej ilości całkowitego białka na podstawie oznaczeń stężenia, z dopuszczalnym błędem &lt;20% (dla ilości 20ug) do dalszej preparatyki. Ze względu na możliwą obecność, w próbkach „wyskrobin”, detergentów i innych związków małocząsteczkowych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włączenia do procedur etapu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oczyszczenia materiału ze związków mogących wpływać negatywnie (m.in. supresja sygnału) na jakość pomiaru metodą spektrometrii mas LC-MS/MS. Etap oczyszczenia może być przeprowadzony na dowolnym etapie preparatyki poprzedzającej pomiar. Przykładowe metody to sp3, sp4,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HiPPR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™ Detergent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Removal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Resin</w:t>
      </w:r>
      <w:proofErr w:type="spellEnd"/>
      <w:r w:rsidRPr="001A2F79">
        <w:rPr>
          <w:rFonts w:ascii="Times New Roman" w:eastAsia="Times New Roman" w:hAnsi="Times New Roman" w:cs="Times New Roman"/>
          <w:bCs/>
          <w:sz w:val="24"/>
          <w:szCs w:val="24"/>
        </w:rPr>
        <w:t xml:space="preserve">. Efektywność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oczyszczenia</w:t>
      </w:r>
      <w:r w:rsidRPr="001A2F79">
        <w:rPr>
          <w:rFonts w:ascii="Times New Roman" w:eastAsia="Times New Roman" w:hAnsi="Times New Roman" w:cs="Times New Roman"/>
          <w:bCs/>
          <w:sz w:val="24"/>
          <w:szCs w:val="24"/>
        </w:rPr>
        <w:t xml:space="preserve"> ma zostać skonsultowana z Zamawiającym i zatwierdzona do dalszego stosowania</w:t>
      </w:r>
    </w:p>
    <w:p w14:paraId="19E544E3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9070BD" w14:textId="151A25AA" w:rsidR="00E04F48" w:rsidRPr="00E20FCF" w:rsidRDefault="00E04F48" w:rsidP="00E04F48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/>
          <w:sz w:val="24"/>
          <w:szCs w:val="24"/>
        </w:rPr>
        <w:t xml:space="preserve">Próbki „popłuczyn”.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określenia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stężenia białek obecnych w poszczególnych próbkach. Kolejno pobranie takie</w:t>
      </w:r>
      <w:r w:rsidR="0038348B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samej ilości całkowitego białka na podstawie oznaczeń stężenia, z dopuszczalnym błędem &lt;20% (dla ilości 20ug) do dalszej preparatyki.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wymaga poddania próbek „popłuczyn” 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procedurze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deplecji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najbardziej licznych białek osocza w celu zwiększenia liczby identyfikowanych białek. Efektywność procedury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deplecji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ma zostać potwierdzona za pomocą żelu SDS-PAGE, na którym rozwinięte zostanie 5 tych samych próbek popłuczyn w stanie natywnym oraz poddanych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deplecji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. Próbki te mają zostać również zmierzone metodą LC-MS/MS w celu wstępnego porównania efektywności procedury. Efektywność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deplecji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ma zostać skonsultowana z Zamawiającym i zatwierdzona do dalszego stosowania. </w:t>
      </w:r>
    </w:p>
    <w:p w14:paraId="3F41C5F2" w14:textId="77777777" w:rsidR="00E04F48" w:rsidRDefault="00E04F48" w:rsidP="00E04F48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53B319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AAC48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Uzyskane próbki obu typów mają zostać poddane standardowej procedurze redukcji/alkilacji mostków di-siarczkowych w białkach, za pomocą jednej z kombinacji odczynników: DTT/IAA, TCEP/CAA, TCEP/IAA, DTT/CAA. Trawienie proteolityczne ma zostać przeprowadzone z wykorzystaniem układu proteaz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LysC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/trypsyna, w celu uzyskania większego pokrycia jak i liczby identyfikowanych białek. Wstępny etap trawienia ma zostać przeprowadzony w warunkach denaturujących w obecności &gt;6M mocznika i być prowadzony w temperaturze 37⁰C przez okres 2 do 4 godzin z wytrząsaniem. Następnie uzupełniające trawienie w warunkach niedenaturujących z użyciem trypsyny  w temp. 37⁰C z wytrząsaniem przez noc. </w:t>
      </w:r>
    </w:p>
    <w:p w14:paraId="63803D11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B39934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Uzyskane mieszaniny peptydów mają zostać odsolone za pomocą jednej z metod/złóż: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ZipTip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C18, HLB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Waters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ZebaSpin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lub równoważnej. Próbki mają zostać osuszone a kolejno zawieszone w buforze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nastrzyku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układ HPLC sprzężony ze spektrometrem mas.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buforze służącym do zawieszenia próbki mają być dodane peptydy kalibracyjne czasu retencji np.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Biognosys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które zostaną wykorzystane podczas analizy danych.</w:t>
      </w:r>
    </w:p>
    <w:p w14:paraId="0A094C8A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A0C26" w14:textId="77777777" w:rsidR="00E04F48" w:rsidRPr="00E20FCF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Zamawiający wymaga wykonania pomiarów na układzie wysokorozdzielczej tandemowej spektrometrii mas sprzężonej z chromatografią cieczową. Zamawiający wymaga wykonania pomiarów w trybie DIA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tj. 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“data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dependent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acquisition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przykład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SWATH. W celu uzyskania satysfakcjonujących wyników pomiarów Zamawiający wymaga od Wykonawcy dysponowania:</w:t>
      </w:r>
    </w:p>
    <w:p w14:paraId="5F40C241" w14:textId="77777777" w:rsidR="00E04F48" w:rsidRPr="00E20FCF" w:rsidRDefault="00E04F48" w:rsidP="00E04F48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Tandemowym chromatografem cieczowym równoważnym, połączonym online ze spektrometrem mas zapewniającym możliwość przeprowadzenia analizy cechujących się następującymi parametrami:</w:t>
      </w:r>
    </w:p>
    <w:p w14:paraId="52691725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Możliwość uzyskania prędkość przepływów w zakresie 0,1-10µl/min;</w:t>
      </w:r>
    </w:p>
    <w:p w14:paraId="24A9D6FC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Możliwość pracy z kolumnami chromatograficznymi o długości 15-50cm i średnicy &lt;0,5mm dla układów „kapilarnych”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lub 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&lt;0,15mm dla układów „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nano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”;</w:t>
      </w:r>
    </w:p>
    <w:p w14:paraId="22A954A5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Możliwość wykorzystania układu odwróconych faz C18 (z gradientem narastającego stężenia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acetonitrylu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w zakresie 5-45%);</w:t>
      </w:r>
    </w:p>
    <w:p w14:paraId="55210246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Możliwość dobrania długości gradientu zapewniającej dostarczenie nie mniej niż 1000 identyfikowanych białek z materiału typu „popłuczyny” i 3000 z materiału typu „wyskrobiny”;</w:t>
      </w:r>
    </w:p>
    <w:p w14:paraId="6E612A71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Szybkość skanowania nie mniejszą niż 133Hz;</w:t>
      </w:r>
    </w:p>
    <w:p w14:paraId="20A62A49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Możliwość przeprowadzenia fragmentacji w trybach CID oraz ETD, opcjonalnie EAD oraz CAD zapewniając przy tym rozdzielczość pracy powyżej 40000 przy m/z = 900 na poziomie MS i MS/MS;</w:t>
      </w:r>
    </w:p>
    <w:p w14:paraId="21B10877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Zachowanie błędu pomiarowego na poziomie &lt;5ppm;</w:t>
      </w:r>
    </w:p>
    <w:p w14:paraId="1F9E7DD2" w14:textId="77777777" w:rsidR="00E04F48" w:rsidRPr="00E20FCF" w:rsidRDefault="00E04F48" w:rsidP="00E04F48">
      <w:pPr>
        <w:pStyle w:val="Akapitzlist"/>
        <w:numPr>
          <w:ilvl w:val="1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Konstrukcja detektora wykorzystująca układy typu np. TOF,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Orbitrap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pochodne.</w:t>
      </w:r>
    </w:p>
    <w:p w14:paraId="1E4DAACC" w14:textId="77777777" w:rsidR="00E04F48" w:rsidRPr="00E20FCF" w:rsidRDefault="00E04F48" w:rsidP="00E04F48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Zasobem komputerowym i oprogramowaniem do identyfikacji peptydów i białek oraz analizy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bioinformatycznej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ich funkcjonalności, przykładowo: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Spectronaut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Biognosys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FragPipe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9E0EDB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wymaga aby Wykonawca pomiędzy pomiarami próbek wykonywał pomiar próbek kontrolnych np. trawiony, referencyjny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lizat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hodowli komórkowej (takiej jak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 W przypadku odnotowania spadku jakości i ilości identyfikacji lub sygnału Wykonawca przerywa pomiar i doprowadza układ pomiarowy do właściwego stanu, który potwierdza kolejnym pomiarem próbki kontrolnej.</w:t>
      </w:r>
    </w:p>
    <w:p w14:paraId="5EACAA9E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Zamawiający wymaga od Wykonawcy przeprowadzenia próby procesowej, na dodatkowym materiale dostarczonym przez Zamawiającego w celu optymalizacji procesów pomiaru i analiz.</w:t>
      </w:r>
    </w:p>
    <w:p w14:paraId="211A5F0B" w14:textId="77777777" w:rsidR="00E04F48" w:rsidRPr="00E20FCF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BCF534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1774F3" w14:textId="2E23F5C1" w:rsidR="00E04F48" w:rsidRPr="007F31F5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przeanalizuje zebrane surowe dane pod kątem zachowania pożądanych parametrów technicznych po zakończeniu pomiarów wszystkich próbek przekazanych w ramach danej tury. Wykonawca przekaże cząstkowe dane do Zamawiającego i jednocześnie je zarchiwizuje. Po zmierzeniu wszystkich próbek przewidzianych zleceniem Wykonawca zanalizuje je jednocześnie, względem stworzonej biblioteki widm wygenerowanej w oparciu o 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reprezentatywną liczbę próbek (nie mniej niż połączenie 100 różnych próbek). Do analiz Wykonawca użyje ludzkiego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proteomu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referencyjnego pochodzącego z nadzorowanych baz danych, przykładowo Uniprot.org. Zamawiający wymaga od Wykonawcy przeprowadzenia analiz danych z wykorzystaniem oprogramowania dedykowanego do identyfikacji białek i ich analizy ilościowej. Oprogramowanie powinno cechować się możliwością bezpośredniego importu surowych plików wygenerowanych podczas pomiarów LC-MS/MS w trybie DIA. Oprogramowanie musi posiadać funkcjonalność identyfikacji białek na podstawie stworzonej biblioteki widm jak w trybie bez biblioteki. Przykładowe oprogramowania: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Spectronaut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Biognosys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</w:t>
      </w:r>
      <w:proofErr w:type="spellStart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FragPipe</w:t>
      </w:r>
      <w:proofErr w:type="spellEnd"/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>. Analiza statystyczna uzyskanych danych ilościowych opisującyc</w:t>
      </w:r>
      <w:r w:rsidR="003D030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E20FCF">
        <w:rPr>
          <w:rFonts w:ascii="Times New Roman" w:eastAsia="Times New Roman" w:hAnsi="Times New Roman" w:cs="Times New Roman"/>
          <w:bCs/>
          <w:sz w:val="24"/>
          <w:szCs w:val="24"/>
        </w:rPr>
        <w:t xml:space="preserve"> dane białko może być prowadzona za pomocą zewnętrznego oprogramowania, którym Wykonawca będzie dysponował. Wszystkie prace przeprowadzone na materiale i danych przez Wykonawcę powinny odbywać się pod nadzorem Eksperta Bioinformatyka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EE7CCB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3674F4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od Wykonawcy, że u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zyskane wyniki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będą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cechować się identyfikacją co najmniej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>000 białek z materiału tkankowego, oraz 1000 białek w płynie ustrojowym. Przy założeniu, że każde z białek będzie zidentyfikowane za pomocą co najmniej dwóch unikalnych peptydów.</w:t>
      </w:r>
    </w:p>
    <w:p w14:paraId="61317C32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7675E9" w14:textId="77777777" w:rsidR="00E04F48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od Wykonawcy aby b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iałka zidentyfikowane po kątem ilościowym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zostały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zinterpretowane pod kątem ich roli w procesach biologicznych za pomocą narzędzi bioinformatycznych. Ze szczególnym naciskiem na szlaki metaboliczne, ich funkcję i procesy w jakie są zaangażowane.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oczekuje od Wykonawcy wykorzystania dedykowanego oprogramowania (takiego jak np. </w:t>
      </w:r>
      <w:proofErr w:type="spellStart"/>
      <w:r w:rsidRPr="0026598B">
        <w:rPr>
          <w:rFonts w:ascii="Times New Roman" w:eastAsia="Times New Roman" w:hAnsi="Times New Roman" w:cs="Times New Roman"/>
          <w:bCs/>
          <w:sz w:val="24"/>
          <w:szCs w:val="24"/>
        </w:rPr>
        <w:t>Ingenuity</w:t>
      </w:r>
      <w:proofErr w:type="spellEnd"/>
      <w:r w:rsidRPr="002659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598B">
        <w:rPr>
          <w:rFonts w:ascii="Times New Roman" w:eastAsia="Times New Roman" w:hAnsi="Times New Roman" w:cs="Times New Roman"/>
          <w:bCs/>
          <w:sz w:val="24"/>
          <w:szCs w:val="24"/>
        </w:rPr>
        <w:t>Pathway</w:t>
      </w:r>
      <w:proofErr w:type="spellEnd"/>
      <w:r w:rsidRPr="0026598B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Analysis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umożliwiającego wielowymiarową interpretację danych biologicznych pod kątem aktywacji, czy wyciszenia poszczególnych szlaków biologicznych.</w:t>
      </w:r>
    </w:p>
    <w:p w14:paraId="55964D20" w14:textId="77777777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9AA88" w14:textId="70F70370" w:rsidR="00E04F48" w:rsidRPr="002656BE" w:rsidRDefault="00E04F48" w:rsidP="00E04F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przekazania d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 w:rsidRPr="0026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postaci elektronicznej na adres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korespondencyjny wskazany w umowie.</w:t>
      </w:r>
    </w:p>
    <w:p w14:paraId="0000001D" w14:textId="77777777" w:rsidR="00DD5F91" w:rsidRPr="002656BE" w:rsidRDefault="00DD5F9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1E" w14:textId="77777777" w:rsidR="00DD5F91" w:rsidRPr="002656BE" w:rsidRDefault="00DD5F9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1F" w14:textId="77777777" w:rsidR="00DD5F91" w:rsidRPr="002656BE" w:rsidRDefault="00DD5F9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20" w14:textId="77777777" w:rsidR="00DD5F91" w:rsidRPr="002656BE" w:rsidRDefault="00DD5F9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4F8FCE" w14:textId="77777777" w:rsidR="000A738F" w:rsidRPr="000A738F" w:rsidRDefault="000A738F" w:rsidP="000A7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1E37A6" w14:textId="77777777" w:rsidR="000A738F" w:rsidRPr="000A738F" w:rsidRDefault="000A738F" w:rsidP="000A7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B7505" w14:textId="77777777" w:rsidR="000A738F" w:rsidRPr="000A738F" w:rsidRDefault="000A738F" w:rsidP="000A7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F2511" w14:textId="77777777" w:rsidR="000A738F" w:rsidRPr="000A738F" w:rsidRDefault="000A738F" w:rsidP="000A7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63322" w14:textId="77777777" w:rsidR="000A738F" w:rsidRDefault="000A738F" w:rsidP="000A738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C881E" w14:textId="123EB08E" w:rsidR="000A738F" w:rsidRDefault="000A738F" w:rsidP="000A738F">
      <w:pPr>
        <w:tabs>
          <w:tab w:val="left" w:pos="10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3C4957" w14:textId="77777777" w:rsidR="000A738F" w:rsidRDefault="000A738F" w:rsidP="000A738F">
      <w:pPr>
        <w:tabs>
          <w:tab w:val="left" w:pos="101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660150" w14:textId="25D76DBA" w:rsidR="00FA1B05" w:rsidRPr="00C20DF6" w:rsidRDefault="00FA1B05" w:rsidP="00C20DF6">
      <w:pPr>
        <w:tabs>
          <w:tab w:val="left" w:pos="101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A1B05" w:rsidRPr="00C20DF6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49DF" w14:textId="77777777" w:rsidR="002656BE" w:rsidRDefault="002656BE" w:rsidP="002656BE">
      <w:pPr>
        <w:spacing w:line="240" w:lineRule="auto"/>
      </w:pPr>
      <w:r>
        <w:separator/>
      </w:r>
    </w:p>
  </w:endnote>
  <w:endnote w:type="continuationSeparator" w:id="0">
    <w:p w14:paraId="2CD98E97" w14:textId="77777777" w:rsidR="002656BE" w:rsidRDefault="002656BE" w:rsidP="00265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4D30201" w14:textId="77777777" w:rsidR="002E6EC8" w:rsidRDefault="002E6EC8" w:rsidP="002E6EC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>
          <w:rPr>
            <w:rFonts w:ascii="Source Serif Pro" w:hAnsi="Source Serif Pro" w:cs="Arial"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398FEEF1" w14:textId="77777777" w:rsidR="002E6EC8" w:rsidRDefault="002E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2709" w14:textId="77777777" w:rsidR="002656BE" w:rsidRDefault="002656BE" w:rsidP="002656BE">
      <w:pPr>
        <w:spacing w:line="240" w:lineRule="auto"/>
      </w:pPr>
      <w:r>
        <w:separator/>
      </w:r>
    </w:p>
  </w:footnote>
  <w:footnote w:type="continuationSeparator" w:id="0">
    <w:p w14:paraId="5164B063" w14:textId="77777777" w:rsidR="002656BE" w:rsidRDefault="002656BE" w:rsidP="00265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32"/>
    <w:multiLevelType w:val="hybridMultilevel"/>
    <w:tmpl w:val="8998EB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552"/>
    <w:multiLevelType w:val="hybridMultilevel"/>
    <w:tmpl w:val="93187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4FEF"/>
    <w:multiLevelType w:val="hybridMultilevel"/>
    <w:tmpl w:val="D792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278A"/>
    <w:multiLevelType w:val="hybridMultilevel"/>
    <w:tmpl w:val="F3A0D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406"/>
    <w:multiLevelType w:val="hybridMultilevel"/>
    <w:tmpl w:val="BDBC7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29B7"/>
    <w:multiLevelType w:val="multilevel"/>
    <w:tmpl w:val="1DBC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AA3EEC"/>
    <w:multiLevelType w:val="hybridMultilevel"/>
    <w:tmpl w:val="41D6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6F7"/>
    <w:multiLevelType w:val="hybridMultilevel"/>
    <w:tmpl w:val="A0A462C4"/>
    <w:lvl w:ilvl="0" w:tplc="CF826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39D9"/>
    <w:multiLevelType w:val="hybridMultilevel"/>
    <w:tmpl w:val="8C7AC04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02748"/>
    <w:multiLevelType w:val="hybridMultilevel"/>
    <w:tmpl w:val="58A40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20B2"/>
    <w:multiLevelType w:val="hybridMultilevel"/>
    <w:tmpl w:val="51EC4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44532">
    <w:abstractNumId w:val="5"/>
  </w:num>
  <w:num w:numId="2" w16cid:durableId="189878660">
    <w:abstractNumId w:val="3"/>
  </w:num>
  <w:num w:numId="3" w16cid:durableId="858810618">
    <w:abstractNumId w:val="1"/>
  </w:num>
  <w:num w:numId="4" w16cid:durableId="2009403392">
    <w:abstractNumId w:val="9"/>
  </w:num>
  <w:num w:numId="5" w16cid:durableId="1155296920">
    <w:abstractNumId w:val="10"/>
  </w:num>
  <w:num w:numId="6" w16cid:durableId="451872968">
    <w:abstractNumId w:val="0"/>
  </w:num>
  <w:num w:numId="7" w16cid:durableId="922569437">
    <w:abstractNumId w:val="4"/>
  </w:num>
  <w:num w:numId="8" w16cid:durableId="1801068230">
    <w:abstractNumId w:val="8"/>
  </w:num>
  <w:num w:numId="9" w16cid:durableId="981813064">
    <w:abstractNumId w:val="7"/>
  </w:num>
  <w:num w:numId="10" w16cid:durableId="725880036">
    <w:abstractNumId w:val="6"/>
  </w:num>
  <w:num w:numId="11" w16cid:durableId="4144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91"/>
    <w:rsid w:val="000360E2"/>
    <w:rsid w:val="000A738F"/>
    <w:rsid w:val="000D09CF"/>
    <w:rsid w:val="000D2589"/>
    <w:rsid w:val="00147521"/>
    <w:rsid w:val="00165408"/>
    <w:rsid w:val="001D1BA8"/>
    <w:rsid w:val="00213625"/>
    <w:rsid w:val="002656BE"/>
    <w:rsid w:val="0026598B"/>
    <w:rsid w:val="002C0F5B"/>
    <w:rsid w:val="002D5318"/>
    <w:rsid w:val="002E6EC8"/>
    <w:rsid w:val="00324B67"/>
    <w:rsid w:val="00362983"/>
    <w:rsid w:val="0037544B"/>
    <w:rsid w:val="0038348B"/>
    <w:rsid w:val="003D0309"/>
    <w:rsid w:val="003D1D9E"/>
    <w:rsid w:val="003E3CBC"/>
    <w:rsid w:val="00441B3F"/>
    <w:rsid w:val="004D7852"/>
    <w:rsid w:val="004F5D30"/>
    <w:rsid w:val="006125E8"/>
    <w:rsid w:val="00646B00"/>
    <w:rsid w:val="00697AB7"/>
    <w:rsid w:val="006D2682"/>
    <w:rsid w:val="006D2D31"/>
    <w:rsid w:val="0070671A"/>
    <w:rsid w:val="00761122"/>
    <w:rsid w:val="007675D9"/>
    <w:rsid w:val="007F3ABC"/>
    <w:rsid w:val="0088002D"/>
    <w:rsid w:val="009173A7"/>
    <w:rsid w:val="00936FDF"/>
    <w:rsid w:val="009A54B2"/>
    <w:rsid w:val="009D3A6F"/>
    <w:rsid w:val="00A464FE"/>
    <w:rsid w:val="00A71A99"/>
    <w:rsid w:val="00AC0CEB"/>
    <w:rsid w:val="00AC5879"/>
    <w:rsid w:val="00AD082E"/>
    <w:rsid w:val="00AE13C8"/>
    <w:rsid w:val="00AF12E1"/>
    <w:rsid w:val="00B46E74"/>
    <w:rsid w:val="00BB7454"/>
    <w:rsid w:val="00BC11E3"/>
    <w:rsid w:val="00BD4909"/>
    <w:rsid w:val="00C20DF6"/>
    <w:rsid w:val="00CD4BC6"/>
    <w:rsid w:val="00DB5014"/>
    <w:rsid w:val="00DD21CE"/>
    <w:rsid w:val="00DD5F91"/>
    <w:rsid w:val="00DF519D"/>
    <w:rsid w:val="00E041D4"/>
    <w:rsid w:val="00E04F48"/>
    <w:rsid w:val="00E20FCF"/>
    <w:rsid w:val="00E42F98"/>
    <w:rsid w:val="00E43A6F"/>
    <w:rsid w:val="00FA1B0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2264"/>
  <w15:docId w15:val="{735D64C7-F341-41EE-864A-9827E046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line="360" w:lineRule="auto"/>
      <w:jc w:val="both"/>
      <w:outlineLvl w:val="0"/>
    </w:pPr>
    <w:rPr>
      <w:rFonts w:ascii="EB Garamond" w:eastAsia="EB Garamond" w:hAnsi="EB Garamond" w:cs="EB Garamond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1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12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6B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6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B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0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5318"/>
    <w:pPr>
      <w:spacing w:line="240" w:lineRule="auto"/>
    </w:pPr>
  </w:style>
  <w:style w:type="character" w:customStyle="1" w:styleId="TytuZnak">
    <w:name w:val="Tytuł Znak"/>
    <w:basedOn w:val="Domylnaczcionkaakapitu"/>
    <w:link w:val="Tytu"/>
    <w:rsid w:val="00936FDF"/>
    <w:rPr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936FDF"/>
    <w:pPr>
      <w:widowControl w:val="0"/>
      <w:tabs>
        <w:tab w:val="center" w:pos="4536"/>
        <w:tab w:val="right" w:pos="9072"/>
      </w:tabs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36FDF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E6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7A0D-BCDE-4C63-A17A-D8D801D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Lewandowska-Szumieł</dc:creator>
  <cp:lastModifiedBy>Anna Koperwas</cp:lastModifiedBy>
  <cp:revision>5</cp:revision>
  <dcterms:created xsi:type="dcterms:W3CDTF">2023-08-09T11:20:00Z</dcterms:created>
  <dcterms:modified xsi:type="dcterms:W3CDTF">2023-08-10T06:19:00Z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909024241d96bfb4c5b18ba96645a2ba280f10e2d23f312e3bc583a98ff8a0e8</vt:lpwstr>
  </property>
</Properties>
</file>